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CONFIDENTIAL – ATTORNEY-CLIENT COMMUNICATION</w:t>
      </w:r>
    </w:p>
    <w:p>
      <w:pPr>
        <w:pStyle w:val="Heading"/>
        <w:rPr/>
      </w:pPr>
      <w:r>
        <w:rPr/>
        <w:t>WORK PRODUCT</w:t>
      </w:r>
    </w:p>
    <w:p>
      <w:pPr>
        <w:pStyle w:val="Heading"/>
        <w:rPr/>
      </w:pPr>
      <w:r>
        <w:rPr/>
      </w:r>
    </w:p>
    <w:p>
      <w:pPr>
        <w:pStyle w:val="Heading"/>
        <w:rPr/>
      </w:pPr>
      <w:r>
        <w:rPr/>
        <w:t>M E M O R A N D U M</w:t>
      </w:r>
    </w:p>
    <w:p>
      <w:pPr>
        <w:pStyle w:val="Heading"/>
        <w:rPr/>
      </w:pPr>
      <w:r>
        <w:rPr/>
      </w:r>
    </w:p>
    <w:p>
      <w:pPr>
        <w:pStyle w:val="Heading"/>
        <w:rPr/>
      </w:pPr>
      <w:r>
        <w:rPr/>
      </w:r>
    </w:p>
    <w:p>
      <w:pPr>
        <w:pStyle w:val="Normal"/>
        <w:rPr/>
      </w:pPr>
      <w:r>
        <w:rPr/>
        <w:t>To:</w:t>
        <w:tab/>
        <w:t>Richard Shapiro, James Steffes</w:t>
        <w:tab/>
        <w:tab/>
      </w:r>
    </w:p>
    <w:p>
      <w:pPr>
        <w:pStyle w:val="Normal"/>
        <w:rPr/>
      </w:pPr>
      <w:r>
        <w:rPr/>
      </w:r>
    </w:p>
    <w:p>
      <w:pPr>
        <w:pStyle w:val="Normal"/>
        <w:rPr/>
      </w:pPr>
      <w:r>
        <w:rPr/>
        <w:t>From:</w:t>
        <w:tab/>
        <w:t>Bob Frank</w:t>
      </w:r>
    </w:p>
    <w:p>
      <w:pPr>
        <w:pStyle w:val="Normal"/>
        <w:rPr/>
      </w:pPr>
      <w:r>
        <w:rPr/>
      </w:r>
    </w:p>
    <w:p>
      <w:pPr>
        <w:pStyle w:val="Normal"/>
        <w:rPr/>
      </w:pPr>
      <w:r>
        <w:rPr/>
        <w:t>Date:</w:t>
        <w:tab/>
        <w:t>September 19, 2001</w:t>
      </w:r>
    </w:p>
    <w:p>
      <w:pPr>
        <w:pStyle w:val="Normal"/>
        <w:rPr/>
      </w:pPr>
      <w:r>
        <w:rPr/>
      </w:r>
    </w:p>
    <w:p>
      <w:pPr>
        <w:pStyle w:val="Normal"/>
        <w:rPr/>
      </w:pPr>
      <w:r>
        <w:rPr/>
        <w:t>Re:</w:t>
        <w:tab/>
        <w:t>FERC - Pacific Northwest (PNW) Refund Investigation</w:t>
      </w:r>
    </w:p>
    <w:p>
      <w:pPr>
        <w:pStyle w:val="Normal"/>
        <w:rPr/>
      </w:pPr>
      <w:r>
        <w:rPr/>
      </w:r>
    </w:p>
    <w:p>
      <w:pPr>
        <w:pStyle w:val="Heading1"/>
        <w:ind w:hanging="0" w:start="0"/>
        <w:rPr>
          <w:b w:val="false"/>
          <w:bCs w:val="false"/>
          <w:u w:val="none"/>
        </w:rPr>
      </w:pPr>
      <w:r>
        <w:rPr>
          <w:b w:val="false"/>
          <w:bCs w:val="false"/>
          <w:u w:val="none"/>
        </w:rPr>
      </w:r>
    </w:p>
    <w:p>
      <w:pPr>
        <w:pStyle w:val="Heading1"/>
        <w:ind w:hanging="0" w:start="0"/>
        <w:rPr/>
      </w:pPr>
      <w:r>
        <w:rPr>
          <w:b w:val="false"/>
          <w:bCs w:val="false"/>
          <w:u w:val="none"/>
        </w:rPr>
        <w:tab/>
      </w:r>
      <w:r>
        <w:rPr/>
        <w:t xml:space="preserve">Summary and update of PNW refund investigation  </w:t>
      </w:r>
    </w:p>
    <w:p>
      <w:pPr>
        <w:pStyle w:val="Normal"/>
        <w:rPr/>
      </w:pPr>
      <w:r>
        <w:rPr/>
      </w:r>
    </w:p>
    <w:p>
      <w:pPr>
        <w:pStyle w:val="Normal"/>
        <w:rPr/>
      </w:pPr>
      <w:r>
        <w:rPr/>
      </w:r>
    </w:p>
    <w:p>
      <w:pPr>
        <w:pStyle w:val="Heading1"/>
        <w:ind w:hanging="0" w:start="0"/>
        <w:rPr>
          <w:u w:val="none"/>
        </w:rPr>
      </w:pPr>
      <w:r>
        <w:rPr>
          <w:u w:val="none"/>
        </w:rPr>
        <w:t>I.</w:t>
        <w:tab/>
        <w:t xml:space="preserve">Procedural status </w:t>
      </w:r>
    </w:p>
    <w:p>
      <w:pPr>
        <w:pStyle w:val="Normal"/>
        <w:rPr>
          <w:u w:val="none"/>
        </w:rPr>
      </w:pPr>
      <w:r>
        <w:rPr>
          <w:u w:val="none"/>
        </w:rPr>
      </w:r>
    </w:p>
    <w:p>
      <w:pPr>
        <w:pStyle w:val="Heading1"/>
        <w:numPr>
          <w:ilvl w:val="0"/>
          <w:numId w:val="2"/>
        </w:numPr>
        <w:rPr>
          <w:b w:val="false"/>
          <w:bCs w:val="false"/>
          <w:u w:val="none"/>
        </w:rPr>
      </w:pPr>
      <w:r>
        <w:rPr>
          <w:b w:val="false"/>
          <w:bCs w:val="false"/>
          <w:u w:val="none"/>
        </w:rPr>
        <w:t xml:space="preserve">Evidentiary hearings held Sept. 4-6.  All of Enron’s evidence was admitted. </w:t>
      </w:r>
    </w:p>
    <w:p>
      <w:pPr>
        <w:pStyle w:val="Normal"/>
        <w:rPr>
          <w:b/>
          <w:bCs/>
          <w:u w:val="none"/>
        </w:rPr>
      </w:pPr>
      <w:r>
        <w:rPr>
          <w:b/>
          <w:bCs/>
          <w:u w:val="none"/>
        </w:rPr>
      </w:r>
    </w:p>
    <w:p>
      <w:pPr>
        <w:pStyle w:val="Normal"/>
        <w:numPr>
          <w:ilvl w:val="0"/>
          <w:numId w:val="2"/>
        </w:numPr>
        <w:rPr/>
      </w:pPr>
      <w:r>
        <w:rPr/>
        <w:t>Briefs/proposed findings of fact were filed this week.</w:t>
      </w:r>
    </w:p>
    <w:p>
      <w:pPr>
        <w:pStyle w:val="Normal"/>
        <w:rPr/>
      </w:pPr>
      <w:r>
        <w:rPr/>
      </w:r>
    </w:p>
    <w:p>
      <w:pPr>
        <w:pStyle w:val="Normal"/>
        <w:numPr>
          <w:ilvl w:val="0"/>
          <w:numId w:val="2"/>
        </w:numPr>
        <w:rPr/>
      </w:pPr>
      <w:r>
        <w:rPr/>
        <w:t>ALJ will issue a recommendation and findings by 9/24 2001.</w:t>
      </w:r>
    </w:p>
    <w:p>
      <w:pPr>
        <w:pStyle w:val="Normal"/>
        <w:rPr/>
      </w:pPr>
      <w:r>
        <w:rPr/>
      </w:r>
    </w:p>
    <w:p>
      <w:pPr>
        <w:pStyle w:val="Normal"/>
        <w:numPr>
          <w:ilvl w:val="0"/>
          <w:numId w:val="2"/>
        </w:numPr>
        <w:rPr/>
      </w:pPr>
      <w:r>
        <w:rPr/>
        <w:t xml:space="preserve">ALJ </w:t>
      </w:r>
      <w:r>
        <w:rPr>
          <w:b/>
          <w:bCs/>
        </w:rPr>
        <w:t>will not</w:t>
      </w:r>
      <w:r>
        <w:rPr/>
        <w:t xml:space="preserve"> issue “initial decision” on specific refund claims. </w:t>
      </w:r>
    </w:p>
    <w:p>
      <w:pPr>
        <w:pStyle w:val="Normal"/>
        <w:rPr/>
      </w:pPr>
      <w:r>
        <w:rPr/>
      </w:r>
    </w:p>
    <w:p>
      <w:pPr>
        <w:pStyle w:val="Normal"/>
        <w:rPr/>
      </w:pPr>
      <w:r>
        <w:rPr/>
      </w:r>
    </w:p>
    <w:p>
      <w:pPr>
        <w:pStyle w:val="Heading3"/>
        <w:numPr>
          <w:ilvl w:val="0"/>
          <w:numId w:val="3"/>
        </w:numPr>
        <w:ind w:hanging="0" w:start="0"/>
        <w:rPr/>
      </w:pPr>
      <w:r>
        <w:rPr/>
        <w:t>Key issues and positions of parties</w:t>
      </w:r>
    </w:p>
    <w:p>
      <w:pPr>
        <w:pStyle w:val="Normal"/>
        <w:rPr>
          <w:b/>
          <w:bCs/>
        </w:rPr>
      </w:pPr>
      <w:r>
        <w:rPr>
          <w:b/>
          <w:bCs/>
        </w:rPr>
      </w:r>
    </w:p>
    <w:p>
      <w:pPr>
        <w:pStyle w:val="Normal"/>
        <w:numPr>
          <w:ilvl w:val="0"/>
          <w:numId w:val="4"/>
        </w:numPr>
        <w:rPr/>
      </w:pPr>
      <w:r>
        <w:rPr/>
        <w:t xml:space="preserve">Scope of proceeding: </w:t>
      </w:r>
    </w:p>
    <w:p>
      <w:pPr>
        <w:pStyle w:val="Normal"/>
        <w:ind w:start="360" w:end="0"/>
        <w:rPr/>
      </w:pPr>
      <w:r>
        <w:rPr/>
      </w:r>
    </w:p>
    <w:p>
      <w:pPr>
        <w:pStyle w:val="Normal"/>
        <w:numPr>
          <w:ilvl w:val="1"/>
          <w:numId w:val="4"/>
        </w:numPr>
        <w:rPr/>
      </w:pPr>
      <w:r>
        <w:rPr/>
        <w:t>July 25</w:t>
      </w:r>
      <w:r>
        <w:rPr>
          <w:vertAlign w:val="superscript"/>
        </w:rPr>
        <w:t>th</w:t>
      </w:r>
      <w:r>
        <w:rPr/>
        <w:t xml:space="preserve"> order – “whether there may have been unjust and unreasonable charges for spot market bilateral sales in the Pacific Northwest for the period beginning December 25, 2000 through June 20, 2001.”</w:t>
      </w:r>
    </w:p>
    <w:p>
      <w:pPr>
        <w:pStyle w:val="Normal"/>
        <w:ind w:start="1080" w:end="0"/>
        <w:rPr/>
      </w:pPr>
      <w:r>
        <w:rPr/>
      </w:r>
    </w:p>
    <w:p>
      <w:pPr>
        <w:pStyle w:val="Normal"/>
        <w:numPr>
          <w:ilvl w:val="0"/>
          <w:numId w:val="4"/>
        </w:numPr>
        <w:rPr/>
      </w:pPr>
      <w:r>
        <w:rPr/>
        <w:t xml:space="preserve">What are bilateral spot market sales in PNW? </w:t>
      </w:r>
    </w:p>
    <w:p>
      <w:pPr>
        <w:pStyle w:val="Normal"/>
        <w:rPr/>
      </w:pPr>
      <w:r>
        <w:rPr/>
      </w:r>
    </w:p>
    <w:p>
      <w:pPr>
        <w:pStyle w:val="Normal"/>
        <w:numPr>
          <w:ilvl w:val="0"/>
          <w:numId w:val="4"/>
        </w:numPr>
        <w:rPr/>
      </w:pPr>
      <w:r>
        <w:rPr/>
        <w:t>Were prices (for bilateral spot sales) unjust and unreasonable?  If yes, how should FERC determine a just and reasonable rate?</w:t>
      </w:r>
    </w:p>
    <w:p>
      <w:pPr>
        <w:pStyle w:val="Normal"/>
        <w:rPr/>
      </w:pPr>
      <w:r>
        <w:rPr/>
      </w:r>
    </w:p>
    <w:p>
      <w:pPr>
        <w:pStyle w:val="Normal"/>
        <w:numPr>
          <w:ilvl w:val="0"/>
          <w:numId w:val="2"/>
        </w:numPr>
        <w:rPr/>
      </w:pPr>
      <w:r>
        <w:rPr/>
        <w:t xml:space="preserve">Summary of refund claimants’ testimony:  </w:t>
      </w:r>
    </w:p>
    <w:p>
      <w:pPr>
        <w:pStyle w:val="Normal"/>
        <w:rPr/>
      </w:pPr>
      <w:r>
        <w:rPr/>
      </w:r>
    </w:p>
    <w:p>
      <w:pPr>
        <w:pStyle w:val="Normal"/>
        <w:numPr>
          <w:ilvl w:val="1"/>
          <w:numId w:val="6"/>
        </w:numPr>
        <w:rPr/>
      </w:pPr>
      <w:r>
        <w:rPr/>
        <w:t>Refund claims ($1.9b total)</w:t>
      </w:r>
    </w:p>
    <w:p>
      <w:pPr>
        <w:pStyle w:val="Normal"/>
        <w:numPr>
          <w:ilvl w:val="2"/>
          <w:numId w:val="2"/>
        </w:numPr>
        <w:rPr/>
      </w:pPr>
      <w:r>
        <w:rPr/>
        <w:t xml:space="preserve">City of Seattle ($278m total - $80m from Enron); </w:t>
      </w:r>
    </w:p>
    <w:p>
      <w:pPr>
        <w:pStyle w:val="Normal"/>
        <w:numPr>
          <w:ilvl w:val="2"/>
          <w:numId w:val="2"/>
        </w:numPr>
        <w:rPr/>
      </w:pPr>
      <w:r>
        <w:rPr/>
        <w:t xml:space="preserve">City of Tacoma ($65m - $2.5m fr. Enron); </w:t>
      </w:r>
    </w:p>
    <w:p>
      <w:pPr>
        <w:pStyle w:val="Normal"/>
        <w:numPr>
          <w:ilvl w:val="2"/>
          <w:numId w:val="2"/>
        </w:numPr>
        <w:rPr/>
      </w:pPr>
      <w:r>
        <w:rPr/>
        <w:t xml:space="preserve">Clark Public Utilities ($64m – 0 fr. Enron); </w:t>
      </w:r>
    </w:p>
    <w:p>
      <w:pPr>
        <w:pStyle w:val="Normal"/>
        <w:numPr>
          <w:ilvl w:val="2"/>
          <w:numId w:val="2"/>
        </w:numPr>
        <w:rPr/>
      </w:pPr>
      <w:r>
        <w:rPr/>
        <w:t>Eugene Water &amp; Electric Board (EWEB) ($40m - $20m fr. Enron) (forward contracts only) EWEB withdrew claim during hearings</w:t>
      </w:r>
    </w:p>
    <w:p>
      <w:pPr>
        <w:pStyle w:val="Normal"/>
        <w:numPr>
          <w:ilvl w:val="2"/>
          <w:numId w:val="2"/>
        </w:numPr>
        <w:rPr/>
      </w:pPr>
      <w:r>
        <w:rPr/>
        <w:t xml:space="preserve">Port of Seattle ($9m – 0 fr. Enron); </w:t>
      </w:r>
    </w:p>
    <w:p>
      <w:pPr>
        <w:pStyle w:val="Normal"/>
        <w:numPr>
          <w:ilvl w:val="2"/>
          <w:numId w:val="2"/>
        </w:numPr>
        <w:rPr/>
      </w:pPr>
      <w:r>
        <w:rPr/>
        <w:t>Northern Wasco County PUD ($4m – 0 fr. Enron).</w:t>
      </w:r>
    </w:p>
    <w:p>
      <w:pPr>
        <w:pStyle w:val="Normal"/>
        <w:numPr>
          <w:ilvl w:val="2"/>
          <w:numId w:val="2"/>
        </w:numPr>
        <w:rPr/>
      </w:pPr>
      <w:r>
        <w:rPr/>
        <w:t>State of California ($1.5b - $200k fr. Enron)</w:t>
      </w:r>
    </w:p>
    <w:p>
      <w:pPr>
        <w:pStyle w:val="Normal"/>
        <w:rPr/>
      </w:pPr>
      <w:r>
        <w:rPr/>
      </w:r>
    </w:p>
    <w:p>
      <w:pPr>
        <w:pStyle w:val="Normal"/>
        <w:numPr>
          <w:ilvl w:val="1"/>
          <w:numId w:val="6"/>
        </w:numPr>
        <w:rPr/>
      </w:pPr>
      <w:r>
        <w:rPr/>
        <w:t>Spot sales subject to refund – (1) transactions up to 1 year in duration and deliverable up to year in advance; (2) purchases made during refund period at prices tied to PNW daily indices.</w:t>
      </w:r>
    </w:p>
    <w:p>
      <w:pPr>
        <w:pStyle w:val="Normal"/>
        <w:rPr/>
      </w:pPr>
      <w:r>
        <w:rPr/>
      </w:r>
    </w:p>
    <w:p>
      <w:pPr>
        <w:pStyle w:val="Normal"/>
        <w:numPr>
          <w:ilvl w:val="1"/>
          <w:numId w:val="6"/>
        </w:numPr>
        <w:rPr/>
      </w:pPr>
      <w:r>
        <w:rPr/>
        <w:t>“</w:t>
      </w:r>
      <w:r>
        <w:rPr/>
        <w:t>Deficient market mechanism” in California led to “dysfunctional market place both in California and the remainder of the West.”</w:t>
      </w:r>
    </w:p>
    <w:p>
      <w:pPr>
        <w:pStyle w:val="Normal"/>
        <w:rPr/>
      </w:pPr>
      <w:r>
        <w:rPr/>
      </w:r>
    </w:p>
    <w:p>
      <w:pPr>
        <w:pStyle w:val="Normal"/>
        <w:numPr>
          <w:ilvl w:val="1"/>
          <w:numId w:val="6"/>
        </w:numPr>
        <w:rPr/>
      </w:pPr>
      <w:r>
        <w:rPr/>
        <w:t xml:space="preserve">Opportunity cost of CA hourly market drove up PNW prices for longer term products (daily, weekly, monthly, quarterly, yearly).  </w:t>
      </w:r>
    </w:p>
    <w:p>
      <w:pPr>
        <w:pStyle w:val="Normal"/>
        <w:rPr/>
      </w:pPr>
      <w:r>
        <w:rPr/>
      </w:r>
    </w:p>
    <w:p>
      <w:pPr>
        <w:pStyle w:val="Normal"/>
        <w:numPr>
          <w:ilvl w:val="1"/>
          <w:numId w:val="6"/>
        </w:numPr>
        <w:rPr/>
      </w:pPr>
      <w:r>
        <w:rPr/>
        <w:t>Claimants used different methodologies for determining the just and reasonable “benchmark” price.</w:t>
      </w:r>
    </w:p>
    <w:p>
      <w:pPr>
        <w:pStyle w:val="Normal"/>
        <w:rPr/>
      </w:pPr>
      <w:r>
        <w:rPr/>
      </w:r>
    </w:p>
    <w:p>
      <w:pPr>
        <w:pStyle w:val="Normal"/>
        <w:numPr>
          <w:ilvl w:val="1"/>
          <w:numId w:val="6"/>
        </w:numPr>
        <w:rPr/>
      </w:pPr>
      <w:r>
        <w:rPr/>
        <w:t>Requested further evidentiary hearings to determine amounts due.</w:t>
      </w:r>
    </w:p>
    <w:p>
      <w:pPr>
        <w:pStyle w:val="Normal"/>
        <w:rPr/>
      </w:pPr>
      <w:r>
        <w:rPr/>
      </w:r>
    </w:p>
    <w:p>
      <w:pPr>
        <w:pStyle w:val="Normal"/>
        <w:numPr>
          <w:ilvl w:val="0"/>
          <w:numId w:val="2"/>
        </w:numPr>
        <w:rPr/>
      </w:pPr>
      <w:r>
        <w:rPr/>
        <w:t>Enron presented expert testimony through “Transaction Finality Group” (TFG)</w:t>
      </w:r>
      <w:r>
        <w:rPr>
          <w:rStyle w:val="FootnoteCharacters"/>
          <w:rStyle w:val="FootnoteReference"/>
        </w:rPr>
        <w:footnoteReference w:id="2"/>
      </w:r>
      <w:r>
        <w:rPr/>
        <w:t>, a group of approx. forty marketers, IPPs and load-serving entities who oppose refunds.</w:t>
      </w:r>
    </w:p>
    <w:p>
      <w:pPr>
        <w:pStyle w:val="Normal"/>
        <w:rPr/>
      </w:pPr>
      <w:r>
        <w:rPr/>
      </w:r>
    </w:p>
    <w:p>
      <w:pPr>
        <w:pStyle w:val="Normal"/>
        <w:numPr>
          <w:ilvl w:val="0"/>
          <w:numId w:val="2"/>
        </w:numPr>
        <w:rPr/>
      </w:pPr>
      <w:r>
        <w:rPr/>
        <w:t>Summary of Enron/TFG testimony:</w:t>
      </w:r>
    </w:p>
    <w:p>
      <w:pPr>
        <w:pStyle w:val="Normal"/>
        <w:rPr/>
      </w:pPr>
      <w:r>
        <w:rPr/>
      </w:r>
    </w:p>
    <w:p>
      <w:pPr>
        <w:pStyle w:val="Heading1"/>
        <w:numPr>
          <w:ilvl w:val="1"/>
          <w:numId w:val="6"/>
        </w:numPr>
        <w:rPr>
          <w:b w:val="false"/>
          <w:bCs w:val="false"/>
          <w:u w:val="none"/>
        </w:rPr>
      </w:pPr>
      <w:r>
        <w:rPr>
          <w:b w:val="false"/>
          <w:bCs w:val="false"/>
          <w:u w:val="none"/>
        </w:rPr>
        <w:t>Definition of spot market = 24x24.</w:t>
      </w:r>
    </w:p>
    <w:p>
      <w:pPr>
        <w:pStyle w:val="Normal"/>
        <w:rPr>
          <w:b/>
          <w:bCs/>
          <w:u w:val="none"/>
        </w:rPr>
      </w:pPr>
      <w:r>
        <w:rPr>
          <w:b/>
          <w:bCs/>
          <w:u w:val="none"/>
        </w:rPr>
      </w:r>
    </w:p>
    <w:p>
      <w:pPr>
        <w:pStyle w:val="Normal"/>
        <w:numPr>
          <w:ilvl w:val="1"/>
          <w:numId w:val="6"/>
        </w:numPr>
        <w:rPr/>
      </w:pPr>
      <w:r>
        <w:rPr/>
        <w:t xml:space="preserve">High prices are not </w:t>
      </w:r>
      <w:r>
        <w:rPr>
          <w:i/>
          <w:iCs/>
        </w:rPr>
        <w:t>per se</w:t>
      </w:r>
      <w:r>
        <w:rPr/>
        <w:t xml:space="preserve"> unjust and unreasonable.</w:t>
      </w:r>
    </w:p>
    <w:p>
      <w:pPr>
        <w:pStyle w:val="Normal"/>
        <w:rPr/>
      </w:pPr>
      <w:r>
        <w:rPr/>
      </w:r>
    </w:p>
    <w:p>
      <w:pPr>
        <w:pStyle w:val="Normal"/>
        <w:numPr>
          <w:ilvl w:val="1"/>
          <w:numId w:val="6"/>
        </w:numPr>
        <w:rPr/>
      </w:pPr>
      <w:r>
        <w:rPr/>
        <w:t>Only small percentage of market favors refunds.</w:t>
      </w:r>
    </w:p>
    <w:p>
      <w:pPr>
        <w:pStyle w:val="Normal"/>
        <w:rPr/>
      </w:pPr>
      <w:r>
        <w:rPr/>
      </w:r>
    </w:p>
    <w:p>
      <w:pPr>
        <w:pStyle w:val="Normal"/>
        <w:numPr>
          <w:ilvl w:val="1"/>
          <w:numId w:val="6"/>
        </w:numPr>
        <w:rPr/>
      </w:pPr>
      <w:r>
        <w:rPr/>
        <w:t>Higher prices were caused by fundamental economic forces (drought, increased gas costs, increased demand), not market power.  No evidence of market power or that any TFG member violated any tariff or rule.</w:t>
      </w:r>
    </w:p>
    <w:p>
      <w:pPr>
        <w:pStyle w:val="Normal"/>
        <w:rPr/>
      </w:pPr>
      <w:r>
        <w:rPr/>
      </w:r>
    </w:p>
    <w:p>
      <w:pPr>
        <w:pStyle w:val="Normal"/>
        <w:numPr>
          <w:ilvl w:val="1"/>
          <w:numId w:val="6"/>
        </w:numPr>
        <w:rPr/>
      </w:pPr>
      <w:r>
        <w:rPr/>
        <w:t>No structural flaw in PNW market.</w:t>
      </w:r>
    </w:p>
    <w:p>
      <w:pPr>
        <w:pStyle w:val="Normal"/>
        <w:rPr/>
      </w:pPr>
      <w:r>
        <w:rPr/>
      </w:r>
    </w:p>
    <w:p>
      <w:pPr>
        <w:pStyle w:val="Normal"/>
        <w:numPr>
          <w:ilvl w:val="1"/>
          <w:numId w:val="6"/>
        </w:numPr>
        <w:rPr/>
      </w:pPr>
      <w:r>
        <w:rPr/>
        <w:t xml:space="preserve">Claimants seek to be shielded from their over reliance on spot market, refusal to hedge risk, and inaction despite forecasts. </w:t>
      </w:r>
    </w:p>
    <w:p>
      <w:pPr>
        <w:pStyle w:val="Normal"/>
        <w:rPr/>
      </w:pPr>
      <w:r>
        <w:rPr/>
      </w:r>
    </w:p>
    <w:p>
      <w:pPr>
        <w:pStyle w:val="Normal"/>
        <w:numPr>
          <w:ilvl w:val="1"/>
          <w:numId w:val="6"/>
        </w:numPr>
        <w:rPr/>
      </w:pPr>
      <w:r>
        <w:rPr/>
        <w:t>Refunds precluded by filed rate doctrine.</w:t>
      </w:r>
    </w:p>
    <w:p>
      <w:pPr>
        <w:pStyle w:val="Normal"/>
        <w:rPr/>
      </w:pPr>
      <w:r>
        <w:rPr/>
      </w:r>
    </w:p>
    <w:p>
      <w:pPr>
        <w:pStyle w:val="Normal"/>
        <w:numPr>
          <w:ilvl w:val="1"/>
          <w:numId w:val="6"/>
        </w:numPr>
        <w:rPr/>
      </w:pPr>
      <w:r>
        <w:rPr/>
        <w:t xml:space="preserve">Bilateral contracts subject to </w:t>
      </w:r>
      <w:r>
        <w:rPr>
          <w:i/>
          <w:iCs/>
        </w:rPr>
        <w:t xml:space="preserve">Mobile-Sierra </w:t>
      </w:r>
      <w:r>
        <w:rPr/>
        <w:t>doctrine.</w:t>
      </w:r>
    </w:p>
    <w:p>
      <w:pPr>
        <w:pStyle w:val="Normal"/>
        <w:rPr/>
      </w:pPr>
      <w:r>
        <w:rPr/>
      </w:r>
    </w:p>
    <w:p>
      <w:pPr>
        <w:pStyle w:val="Normal"/>
        <w:numPr>
          <w:ilvl w:val="1"/>
          <w:numId w:val="6"/>
        </w:numPr>
        <w:rPr/>
      </w:pPr>
      <w:r>
        <w:rPr/>
        <w:t>Refunds will destabilize market, reduce liquidity and increase costs.</w:t>
      </w:r>
    </w:p>
    <w:p>
      <w:pPr>
        <w:pStyle w:val="Normal"/>
        <w:rPr/>
      </w:pPr>
      <w:r>
        <w:rPr/>
      </w:r>
    </w:p>
    <w:p>
      <w:pPr>
        <w:pStyle w:val="Normal"/>
        <w:numPr>
          <w:ilvl w:val="1"/>
          <w:numId w:val="6"/>
        </w:numPr>
        <w:rPr/>
      </w:pPr>
      <w:r>
        <w:rPr/>
        <w:t>Scope and magnitude of “ripple claims” – 500,000 transactions.</w:t>
      </w:r>
    </w:p>
    <w:p>
      <w:pPr>
        <w:pStyle w:val="Normal"/>
        <w:rPr/>
      </w:pPr>
      <w:r>
        <w:rPr/>
      </w:r>
    </w:p>
    <w:p>
      <w:pPr>
        <w:pStyle w:val="Normal"/>
        <w:numPr>
          <w:ilvl w:val="1"/>
          <w:numId w:val="6"/>
        </w:numPr>
        <w:rPr/>
      </w:pPr>
      <w:r>
        <w:rPr/>
        <w:t>Book-outs should be excluded – FERC lacks jurisdiction.</w:t>
      </w:r>
    </w:p>
    <w:p>
      <w:pPr>
        <w:pStyle w:val="Normal"/>
        <w:rPr/>
      </w:pPr>
      <w:r>
        <w:rPr/>
      </w:r>
    </w:p>
    <w:p>
      <w:pPr>
        <w:pStyle w:val="Normal"/>
        <w:numPr>
          <w:ilvl w:val="1"/>
          <w:numId w:val="6"/>
        </w:numPr>
        <w:rPr/>
      </w:pPr>
      <w:r>
        <w:rPr/>
        <w:t xml:space="preserve">CDWR refund claims should be excluded – already rejected in CA refund case. </w:t>
      </w:r>
    </w:p>
    <w:p>
      <w:pPr>
        <w:pStyle w:val="Normal"/>
        <w:rPr/>
      </w:pPr>
      <w:r>
        <w:rPr/>
      </w:r>
    </w:p>
    <w:p>
      <w:pPr>
        <w:pStyle w:val="Normal"/>
        <w:numPr>
          <w:ilvl w:val="1"/>
          <w:numId w:val="6"/>
        </w:numPr>
        <w:rPr/>
      </w:pPr>
      <w:r>
        <w:rPr/>
        <w:t>If refunds are ordered, FERC should use market-based approach.</w:t>
      </w:r>
    </w:p>
    <w:p>
      <w:pPr>
        <w:pStyle w:val="Normal"/>
        <w:rPr/>
      </w:pPr>
      <w:r>
        <w:rPr/>
      </w:r>
    </w:p>
    <w:p>
      <w:pPr>
        <w:pStyle w:val="Normal"/>
        <w:rPr/>
      </w:pPr>
      <w:r>
        <w:rPr/>
      </w:r>
    </w:p>
    <w:p>
      <w:pPr>
        <w:pStyle w:val="Heading3"/>
        <w:numPr>
          <w:ilvl w:val="0"/>
          <w:numId w:val="3"/>
        </w:numPr>
        <w:ind w:hanging="0" w:start="0"/>
        <w:rPr/>
      </w:pPr>
      <w:r>
        <w:rPr/>
        <w:t>Impressions:</w:t>
      </w:r>
    </w:p>
    <w:p>
      <w:pPr>
        <w:pStyle w:val="Normal"/>
        <w:ind w:start="720" w:end="0"/>
        <w:rPr>
          <w:b/>
          <w:bCs/>
        </w:rPr>
      </w:pPr>
      <w:r>
        <w:rPr>
          <w:b/>
          <w:bCs/>
        </w:rPr>
      </w:r>
    </w:p>
    <w:p>
      <w:pPr>
        <w:pStyle w:val="Heading3"/>
        <w:numPr>
          <w:ilvl w:val="0"/>
          <w:numId w:val="5"/>
        </w:numPr>
        <w:rPr>
          <w:b w:val="false"/>
          <w:bCs w:val="false"/>
        </w:rPr>
      </w:pPr>
      <w:r>
        <w:rPr>
          <w:b w:val="false"/>
          <w:bCs w:val="false"/>
        </w:rPr>
        <w:t>Weight of evidence strongly favors finding that spot sales = 24x24</w:t>
      </w:r>
    </w:p>
    <w:p>
      <w:pPr>
        <w:pStyle w:val="Normal"/>
        <w:rPr>
          <w:b/>
          <w:bCs/>
        </w:rPr>
      </w:pPr>
      <w:r>
        <w:rPr>
          <w:b/>
          <w:bCs/>
        </w:rPr>
      </w:r>
    </w:p>
    <w:p>
      <w:pPr>
        <w:pStyle w:val="Normal"/>
        <w:numPr>
          <w:ilvl w:val="0"/>
          <w:numId w:val="5"/>
        </w:numPr>
        <w:rPr/>
      </w:pPr>
      <w:r>
        <w:rPr/>
        <w:t>Only reasonable evidentiary basis for ordering refunds is FERC’s prior finding that spot sales in CA were unjust and unreasonable.</w:t>
      </w:r>
    </w:p>
    <w:p>
      <w:pPr>
        <w:pStyle w:val="Normal"/>
        <w:rPr/>
      </w:pPr>
      <w:r>
        <w:rPr/>
      </w:r>
    </w:p>
    <w:p>
      <w:pPr>
        <w:pStyle w:val="Normal"/>
        <w:numPr>
          <w:ilvl w:val="0"/>
          <w:numId w:val="5"/>
        </w:numPr>
        <w:rPr/>
      </w:pPr>
      <w:r>
        <w:rPr/>
        <w:t>Sufficient evidence exists to find that PNW prices caused by economic forces independent of CA.</w:t>
      </w:r>
    </w:p>
    <w:p>
      <w:pPr>
        <w:pStyle w:val="Normal"/>
        <w:rPr/>
      </w:pPr>
      <w:r>
        <w:rPr/>
      </w:r>
    </w:p>
    <w:p>
      <w:pPr>
        <w:pStyle w:val="Normal"/>
        <w:numPr>
          <w:ilvl w:val="0"/>
          <w:numId w:val="5"/>
        </w:numPr>
        <w:rPr/>
      </w:pPr>
      <w:r>
        <w:rPr/>
        <w:t>Both sides have equity arguments.</w:t>
      </w:r>
    </w:p>
    <w:p>
      <w:pPr>
        <w:pStyle w:val="Normal"/>
        <w:rPr/>
      </w:pPr>
      <w:r>
        <w:rPr/>
      </w:r>
    </w:p>
    <w:p>
      <w:pPr>
        <w:pStyle w:val="Normal"/>
        <w:numPr>
          <w:ilvl w:val="0"/>
          <w:numId w:val="5"/>
        </w:numPr>
        <w:rPr/>
      </w:pPr>
      <w:r>
        <w:rPr/>
        <w:t xml:space="preserve">It is possible, but unlikely, FERC will order refunds without further hearings to determine appropriate methodology for establishing benchmark price. </w:t>
      </w:r>
    </w:p>
    <w:p>
      <w:pPr>
        <w:pStyle w:val="Normal"/>
        <w:rPr/>
      </w:pPr>
      <w:r>
        <w:rPr/>
      </w:r>
    </w:p>
    <w:p>
      <w:pPr>
        <w:pStyle w:val="Normal"/>
        <w:numPr>
          <w:ilvl w:val="0"/>
          <w:numId w:val="5"/>
        </w:numPr>
        <w:rPr/>
      </w:pPr>
      <w:r>
        <w:rPr/>
        <w:t xml:space="preserve">Enron right to assert “ripple claims” is fully protected.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fldChar w:fldCharType="begin"/>
      </w:r>
      <w:r>
        <w:rPr/>
        <w:instrText xml:space="preserve">ADVANCE \y 108</w:instrText>
      </w:r>
      <w:r>
        <w:rPr/>
      </w:r>
      <w:r>
        <w:rPr/>
        <w:fldChar w:fldCharType="separate"/>
      </w:r>
      <w:r>
        <w:rPr/>
      </w:r>
      <w:r>
        <w:rPr/>
      </w:r>
      <w:r>
        <w:rPr/>
        <w:fldChar w:fldCharType="end"/>
      </w:r>
      <w:r>
        <w:rPr>
          <w:b/>
        </w:rPr>
        <w:t>Appendix A</w:t>
      </w:r>
    </w:p>
    <w:p>
      <w:pPr>
        <w:pStyle w:val="Normal"/>
        <w:jc w:val="center"/>
        <w:rPr>
          <w:b/>
        </w:rPr>
      </w:pPr>
      <w:r>
        <w:rPr>
          <w:b/>
        </w:rPr>
        <w:t>TFG Members Joining the TFG Post-Hearing Brief in Its Entirety</w:t>
      </w:r>
    </w:p>
    <w:p>
      <w:pPr>
        <w:pStyle w:val="Normal"/>
        <w:jc w:val="both"/>
        <w:rPr/>
      </w:pPr>
      <w:r>
        <w:rPr/>
      </w:r>
    </w:p>
    <w:p>
      <w:pPr>
        <w:pStyle w:val="Normal"/>
        <w:jc w:val="both"/>
        <w:rPr/>
      </w:pPr>
      <w:r>
        <w:rPr/>
        <w:t xml:space="preserve">Alcoa Inc. </w:t>
      </w:r>
    </w:p>
    <w:p>
      <w:pPr>
        <w:pStyle w:val="Normal"/>
        <w:jc w:val="both"/>
        <w:rPr/>
      </w:pPr>
      <w:r>
        <w:rPr/>
        <w:t>Arizona Electric Power Cooperative, Inc.</w:t>
      </w:r>
    </w:p>
    <w:p>
      <w:pPr>
        <w:pStyle w:val="Normal"/>
        <w:jc w:val="both"/>
        <w:rPr/>
      </w:pPr>
      <w:r>
        <w:rPr/>
        <w:t xml:space="preserve">Arizona Public Service Company </w:t>
      </w:r>
    </w:p>
    <w:p>
      <w:pPr>
        <w:pStyle w:val="Normal"/>
        <w:jc w:val="both"/>
        <w:rPr/>
      </w:pPr>
      <w:r>
        <w:rPr/>
        <w:t>Avista Energy, Inc.</w:t>
      </w:r>
    </w:p>
    <w:p>
      <w:pPr>
        <w:pStyle w:val="Normal"/>
        <w:jc w:val="both"/>
        <w:rPr/>
      </w:pPr>
      <w:r>
        <w:rPr/>
        <w:t>BP Energy Company</w:t>
      </w:r>
    </w:p>
    <w:p>
      <w:pPr>
        <w:pStyle w:val="Normal"/>
        <w:jc w:val="both"/>
        <w:rPr/>
      </w:pPr>
      <w:r>
        <w:rPr/>
        <w:t>City of Los Angeles, Department of Water and Power</w:t>
      </w:r>
    </w:p>
    <w:p>
      <w:pPr>
        <w:pStyle w:val="Normal"/>
        <w:keepNext w:val="true"/>
        <w:keepLines/>
        <w:jc w:val="both"/>
        <w:rPr/>
      </w:pPr>
      <w:r>
        <w:rPr/>
        <w:t>Cogeneration Coalition of Washington</w:t>
      </w:r>
    </w:p>
    <w:p>
      <w:pPr>
        <w:pStyle w:val="Normal"/>
        <w:jc w:val="both"/>
        <w:rPr/>
      </w:pPr>
      <w:r>
        <w:rPr/>
        <w:t xml:space="preserve">Columbia Falls Aluminum Company </w:t>
      </w:r>
    </w:p>
    <w:p>
      <w:pPr>
        <w:pStyle w:val="Normal"/>
        <w:keepLines/>
        <w:jc w:val="both"/>
        <w:rPr/>
      </w:pPr>
      <w:r>
        <w:rPr/>
        <w:t>Constellation Power Source, Inc.</w:t>
      </w:r>
    </w:p>
    <w:p>
      <w:pPr>
        <w:pStyle w:val="Normal"/>
        <w:jc w:val="both"/>
        <w:rPr/>
      </w:pPr>
      <w:r>
        <w:rPr/>
        <w:t>Coral Power, L.L.C.</w:t>
      </w:r>
    </w:p>
    <w:p>
      <w:pPr>
        <w:pStyle w:val="Normal"/>
        <w:jc w:val="both"/>
        <w:rPr/>
      </w:pPr>
      <w:r>
        <w:rPr/>
        <w:t>Duke Energy Trading and Marketing L.L.C.</w:t>
      </w:r>
    </w:p>
    <w:p>
      <w:pPr>
        <w:pStyle w:val="Normal"/>
        <w:jc w:val="both"/>
        <w:rPr/>
      </w:pPr>
      <w:r>
        <w:rPr/>
        <w:t>Edison Mission Marketing &amp; Trading, Inc.</w:t>
      </w:r>
    </w:p>
    <w:p>
      <w:pPr>
        <w:pStyle w:val="Normal"/>
        <w:jc w:val="both"/>
        <w:rPr/>
      </w:pPr>
      <w:r>
        <w:rPr/>
        <w:t>El Paso Merchant Energy, L.P.</w:t>
      </w:r>
    </w:p>
    <w:p>
      <w:pPr>
        <w:pStyle w:val="Normal"/>
        <w:jc w:val="both"/>
        <w:rPr/>
      </w:pPr>
      <w:r>
        <w:rPr/>
        <w:t>Enron Energy Services, Inc. and Enron Power Marketing, Inc.</w:t>
      </w:r>
    </w:p>
    <w:p>
      <w:pPr>
        <w:pStyle w:val="Normal"/>
        <w:jc w:val="both"/>
        <w:rPr/>
      </w:pPr>
      <w:r>
        <w:rPr/>
        <w:t>Exelon Corporation, as agent for PECO Energy Company and Exelon Generation Company</w:t>
      </w:r>
    </w:p>
    <w:p>
      <w:pPr>
        <w:pStyle w:val="Normal"/>
        <w:jc w:val="both"/>
        <w:rPr/>
      </w:pPr>
      <w:r>
        <w:rPr/>
        <w:t>IDACORP Energy, LP</w:t>
      </w:r>
    </w:p>
    <w:p>
      <w:pPr>
        <w:pStyle w:val="Normal"/>
        <w:jc w:val="both"/>
        <w:rPr/>
      </w:pPr>
      <w:r>
        <w:rPr/>
        <w:t>Kaiser Aluminum &amp; Chemical Corp.</w:t>
      </w:r>
    </w:p>
    <w:p>
      <w:pPr>
        <w:pStyle w:val="Normal"/>
        <w:rPr/>
      </w:pPr>
      <w:r>
        <w:rPr/>
        <w:t>Merchant Energy Group of the Americas</w:t>
      </w:r>
    </w:p>
    <w:p>
      <w:pPr>
        <w:pStyle w:val="Normal"/>
        <w:jc w:val="both"/>
        <w:rPr/>
      </w:pPr>
      <w:r>
        <w:rPr/>
        <w:t>Mirant Americas Energy Marketing, LP</w:t>
      </w:r>
    </w:p>
    <w:p>
      <w:pPr>
        <w:pStyle w:val="Normal"/>
        <w:jc w:val="both"/>
        <w:rPr/>
      </w:pPr>
      <w:r>
        <w:rPr/>
        <w:t>Morgan Stanley Capital Group Inc.</w:t>
      </w:r>
    </w:p>
    <w:p>
      <w:pPr>
        <w:pStyle w:val="Normal"/>
        <w:rPr/>
      </w:pPr>
      <w:r>
        <w:rPr/>
        <w:t>PG&amp;E Energy Trading - Power, L.P.</w:t>
      </w:r>
    </w:p>
    <w:p>
      <w:pPr>
        <w:pStyle w:val="Normal"/>
        <w:jc w:val="both"/>
        <w:rPr/>
      </w:pPr>
      <w:r>
        <w:rPr/>
        <w:t xml:space="preserve">Pinnacle West Capital Corporation </w:t>
      </w:r>
    </w:p>
    <w:p>
      <w:pPr>
        <w:pStyle w:val="Normal"/>
        <w:jc w:val="both"/>
        <w:rPr/>
      </w:pPr>
      <w:r>
        <w:rPr/>
        <w:t>Portland General Electric Co.</w:t>
      </w:r>
    </w:p>
    <w:p>
      <w:pPr>
        <w:pStyle w:val="Normal"/>
        <w:jc w:val="both"/>
        <w:rPr/>
      </w:pPr>
      <w:r>
        <w:rPr/>
        <w:t>Powerex Corp.</w:t>
      </w:r>
    </w:p>
    <w:p>
      <w:pPr>
        <w:pStyle w:val="Normal"/>
        <w:jc w:val="both"/>
        <w:rPr/>
      </w:pPr>
      <w:r>
        <w:rPr/>
        <w:t>PPL EnergyPlus, LLC and PPL Montana, LLC</w:t>
      </w:r>
    </w:p>
    <w:p>
      <w:pPr>
        <w:pStyle w:val="Normal"/>
        <w:jc w:val="both"/>
        <w:rPr/>
      </w:pPr>
      <w:r>
        <w:rPr/>
        <w:t>Public Service Company of Colorado</w:t>
      </w:r>
    </w:p>
    <w:p>
      <w:pPr>
        <w:pStyle w:val="Normal"/>
        <w:jc w:val="both"/>
        <w:rPr/>
      </w:pPr>
      <w:r>
        <w:rPr/>
        <w:t>Public Service Company of New Mexico</w:t>
      </w:r>
    </w:p>
    <w:p>
      <w:pPr>
        <w:pStyle w:val="Normal"/>
        <w:jc w:val="both"/>
        <w:rPr/>
      </w:pPr>
      <w:r>
        <w:rPr/>
        <w:t>Puget Sound Energy, Inc.</w:t>
      </w:r>
    </w:p>
    <w:p>
      <w:pPr>
        <w:pStyle w:val="Normal"/>
        <w:jc w:val="both"/>
        <w:rPr/>
      </w:pPr>
      <w:r>
        <w:rPr/>
        <w:t>Sempra Energy Trading Corporation</w:t>
      </w:r>
    </w:p>
    <w:p>
      <w:pPr>
        <w:pStyle w:val="Normal"/>
        <w:jc w:val="both"/>
        <w:rPr/>
      </w:pPr>
      <w:r>
        <w:rPr/>
        <w:t>Tenaska Washington Partners, L.P.</w:t>
      </w:r>
    </w:p>
    <w:p>
      <w:pPr>
        <w:pStyle w:val="Normal"/>
        <w:jc w:val="both"/>
        <w:rPr/>
      </w:pPr>
      <w:r>
        <w:rPr/>
        <w:t>Tractebel Energy Marketing Inc.</w:t>
      </w:r>
    </w:p>
    <w:p>
      <w:pPr>
        <w:pStyle w:val="Normal"/>
        <w:jc w:val="both"/>
        <w:rPr/>
      </w:pPr>
      <w:r>
        <w:rPr/>
        <w:t>TransAlta Energy Marketing (U.S.) Inc.</w:t>
      </w:r>
    </w:p>
    <w:p>
      <w:pPr>
        <w:pStyle w:val="Normal"/>
        <w:jc w:val="both"/>
        <w:rPr/>
      </w:pPr>
      <w:r>
        <w:rPr/>
        <w:t xml:space="preserve">TransAlta Centralia Generating LLC </w:t>
      </w:r>
    </w:p>
    <w:p>
      <w:pPr>
        <w:pStyle w:val="Normal"/>
        <w:jc w:val="both"/>
        <w:rPr/>
      </w:pPr>
      <w:r>
        <w:rPr/>
        <w:t xml:space="preserve">TransCanada Energy Ltd </w:t>
      </w:r>
    </w:p>
    <w:p>
      <w:pPr>
        <w:pStyle w:val="Normal"/>
        <w:jc w:val="both"/>
        <w:rPr/>
      </w:pPr>
      <w:r>
        <w:fldChar w:fldCharType="begin"/>
      </w:r>
      <w:r>
        <w:rPr/>
        <w:instrText xml:space="preserve"> GOTOBUTTON BM_1_ </w:instrText>
      </w:r>
      <w:r>
        <w:rPr/>
      </w:r>
      <w:r>
        <w:rPr/>
        <w:fldChar w:fldCharType="separate"/>
      </w:r>
      <w:r>
        <w:rPr/>
      </w:r>
      <w:r>
        <w:rPr/>
      </w:r>
      <w:r>
        <w:rPr/>
        <w:fldChar w:fldCharType="end"/>
      </w:r>
      <w:r>
        <w:rPr/>
        <w:t>Williams Energy Marketing and Trading</w:t>
      </w:r>
    </w:p>
    <w:p>
      <w:pPr>
        <w:pStyle w:val="Normal"/>
        <w:rPr/>
      </w:pPr>
      <w:r>
        <w:rPr/>
      </w:r>
    </w:p>
    <w:p>
      <w:pPr>
        <w:pStyle w:val="Heading1"/>
        <w:ind w:hanging="0" w:start="0"/>
        <w:rPr/>
      </w:pPr>
      <w:r>
        <w:rPr/>
        <w:t>TFG Members Joining the TFG Post-Hearing Brief in Its Entirety,</w:t>
      </w:r>
    </w:p>
    <w:p>
      <w:pPr>
        <w:pStyle w:val="Heading1"/>
        <w:ind w:hanging="0" w:start="0"/>
        <w:rPr/>
      </w:pPr>
      <w:r>
        <w:rPr/>
        <w:t xml:space="preserve"> </w:t>
      </w:r>
      <w:r>
        <w:rPr/>
        <w:t>Except for Sections II, C. and IV, A (re definition of spot market)</w:t>
      </w:r>
    </w:p>
    <w:p>
      <w:pPr>
        <w:pStyle w:val="Normal"/>
        <w:rPr/>
      </w:pPr>
      <w:r>
        <w:rPr/>
      </w:r>
    </w:p>
    <w:p>
      <w:pPr>
        <w:pStyle w:val="Normal"/>
        <w:jc w:val="both"/>
        <w:rPr/>
      </w:pPr>
      <w:r>
        <w:rPr/>
        <w:t>PacifiCorp</w:t>
      </w:r>
    </w:p>
    <w:p>
      <w:pPr>
        <w:pStyle w:val="Normal"/>
        <w:jc w:val="both"/>
        <w:rPr/>
      </w:pPr>
      <w:r>
        <w:rPr/>
        <w:t>PacifiCorp Power Marketing, Inc.</w:t>
      </w:r>
    </w:p>
    <w:p>
      <w:pPr>
        <w:pStyle w:val="Normal"/>
        <w:jc w:val="both"/>
        <w:rPr/>
      </w:pPr>
      <w:r>
        <w:rPr/>
      </w:r>
    </w:p>
    <w:p>
      <w:pPr>
        <w:pStyle w:val="Normal"/>
        <w:rPr/>
      </w:pPr>
      <w:r>
        <w:rPr/>
      </w:r>
    </w:p>
    <w:p>
      <w:pPr>
        <w:pStyle w:val="Heading1"/>
        <w:ind w:hanging="0" w:start="0"/>
        <w:rPr/>
      </w:pPr>
      <w:r>
        <w:rPr/>
        <w:t xml:space="preserve">TFG Members Joining the TFG Post-Hearing Brief in Its Entirety, </w:t>
      </w:r>
    </w:p>
    <w:p>
      <w:pPr>
        <w:pStyle w:val="Heading1"/>
        <w:ind w:hanging="0" w:start="0"/>
        <w:rPr/>
      </w:pPr>
      <w:r>
        <w:rPr/>
        <w:t>Except for Section IV, C., 3, f (re bookouts/jurisdictional status)</w:t>
      </w:r>
    </w:p>
    <w:p>
      <w:pPr>
        <w:pStyle w:val="Normal"/>
        <w:jc w:val="both"/>
        <w:rPr/>
      </w:pPr>
      <w:r>
        <w:rPr/>
      </w:r>
    </w:p>
    <w:p>
      <w:pPr>
        <w:pStyle w:val="Normal"/>
        <w:jc w:val="both"/>
        <w:rPr/>
      </w:pPr>
      <w:r>
        <w:rPr/>
        <w:t>Avista Corp.</w:t>
      </w:r>
    </w:p>
    <w:p>
      <w:pPr>
        <w:pStyle w:val="Normal"/>
        <w:jc w:val="both"/>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footerReference w:type="default" r:id="rId2"/>
      <w:footerReference w:type="first" r:id="rId3"/>
      <w:footnotePr>
        <w:numFmt w:val="decimal"/>
      </w:footnotePr>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members of the TFG are listed in Appendix A attached to this memo.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2"/>
      <w:numFmt w:val="upperRoman"/>
      <w:lvlText w:val="%1."/>
      <w:lvlJc w:val="start"/>
      <w:pPr>
        <w:tabs>
          <w:tab w:val="num" w:pos="720"/>
        </w:tabs>
        <w:ind w:start="720" w:hanging="720"/>
      </w:pPr>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i/>
      <w:iCs/>
    </w:rPr>
  </w:style>
  <w:style w:type="paragraph" w:styleId="Heading3">
    <w:name w:val="heading 3"/>
    <w:basedOn w:val="Normal"/>
    <w:next w:val="Normal"/>
    <w:qFormat/>
    <w:pPr>
      <w:keepNext w:val="true"/>
      <w:numPr>
        <w:ilvl w:val="0"/>
        <w:numId w:val="3"/>
      </w:numPr>
      <w:outlineLvl w:val="2"/>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5">
    <w:name w:val="WW8Num2z5"/>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2">
    <w:name w:val="WW8Num4z2"/>
    <w:qFormat/>
    <w:rPr>
      <w:rFonts w:ascii="Times New Roman" w:hAnsi="Times New Roman" w:eastAsia="Times New Roman" w:cs="Times New Roman"/>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style>
  <w:style w:type="character" w:styleId="WW8Num7z1">
    <w:name w:val="WW8Num7z1"/>
    <w:qFormat/>
    <w:rPr>
      <w:rFonts w:ascii="Courier New" w:hAnsi="Courier New" w:cs="Courier New"/>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5">
    <w:name w:val="WW8Num20z5"/>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style>
  <w:style w:type="character" w:styleId="WW8Num28z1">
    <w:name w:val="WW8Num28z1"/>
    <w:qFormat/>
    <w:rPr>
      <w:rFonts w:ascii="Symbol" w:hAnsi="Symbol" w:cs="Symbol"/>
    </w:rPr>
  </w:style>
  <w:style w:type="character" w:styleId="WW8Num29z0">
    <w:name w:val="WW8Num29z0"/>
    <w:qFormat/>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0" w:start="360" w:end="0"/>
    </w:pPr>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2001-09-19T12:24:00Z</dcterms:created>
  <dc:creator>rfrank</dc:creator>
  <dc:description/>
  <dc:language>en-CA</dc:language>
  <cp:lastModifiedBy>rfrank</cp:lastModifiedBy>
  <dcterms:modified xsi:type="dcterms:W3CDTF">2001-09-19T19:34:00Z</dcterms:modified>
  <cp:revision>29</cp:revision>
  <dc:subject/>
  <dc:title>CONFIDENTIAL – ATTORNEY-CLIENT COMMUNICATION</dc:title>
</cp:coreProperties>
</file>