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4"/>
        </w:numPr>
        <w:rPr>
          <w:i/>
          <w:i/>
          <w:iCs/>
        </w:rPr>
      </w:pPr>
      <w:r>
        <w:rPr>
          <w:i/>
          <w:iCs/>
        </w:rPr>
        <w:t>FERC July 25, 2001 Order</w:t>
      </w:r>
    </w:p>
    <w:p>
      <w:pPr>
        <w:pStyle w:val="Normal"/>
        <w:rPr>
          <w:i/>
          <w:i/>
          <w:iCs/>
        </w:rPr>
      </w:pPr>
      <w:r>
        <w:rPr>
          <w:i/>
          <w:iCs/>
        </w:rPr>
      </w:r>
    </w:p>
    <w:p>
      <w:pPr>
        <w:pStyle w:val="Normal"/>
        <w:numPr>
          <w:ilvl w:val="0"/>
          <w:numId w:val="3"/>
        </w:numPr>
        <w:rPr/>
      </w:pPr>
      <w:r>
        <w:rPr/>
        <w:t>FERC initiated a “preliminary evidentiary proceeding” to develop factual record on whether there may have been unjust and unreasonable charges for spot market bilateral sales in PNW from December 25, 2000 until June 20, 2001.</w:t>
      </w:r>
    </w:p>
    <w:p>
      <w:pPr>
        <w:pStyle w:val="Normal"/>
        <w:rPr/>
      </w:pPr>
      <w:r>
        <w:rPr/>
      </w:r>
    </w:p>
    <w:p>
      <w:pPr>
        <w:pStyle w:val="Normal"/>
        <w:numPr>
          <w:ilvl w:val="0"/>
          <w:numId w:val="3"/>
        </w:numPr>
        <w:rPr/>
      </w:pPr>
      <w:r>
        <w:rPr/>
        <w:t>Key data include (a) volume of spot transactions, (b) id of net buyers / net sellers, (c) price, terms, and conditions of sales contracts, (d) extent of potential refunds.</w:t>
      </w:r>
    </w:p>
    <w:p>
      <w:pPr>
        <w:pStyle w:val="Normal"/>
        <w:rPr/>
      </w:pPr>
      <w:r>
        <w:rPr/>
      </w:r>
    </w:p>
    <w:p>
      <w:pPr>
        <w:pStyle w:val="Normal"/>
        <w:numPr>
          <w:ilvl w:val="0"/>
          <w:numId w:val="3"/>
        </w:numPr>
        <w:rPr/>
      </w:pPr>
      <w:r>
        <w:rPr/>
        <w:t>ALJ should make findings of fact by September 17, 2001.</w:t>
      </w:r>
    </w:p>
    <w:p>
      <w:pPr>
        <w:pStyle w:val="Normal"/>
        <w:rPr/>
      </w:pPr>
      <w:r>
        <w:rPr/>
      </w:r>
    </w:p>
    <w:p>
      <w:pPr>
        <w:pStyle w:val="Normal"/>
        <w:numPr>
          <w:ilvl w:val="0"/>
          <w:numId w:val="4"/>
        </w:numPr>
        <w:rPr>
          <w:b/>
          <w:bCs/>
          <w:i/>
          <w:i/>
          <w:iCs/>
        </w:rPr>
      </w:pPr>
      <w:r>
        <w:rPr>
          <w:b/>
          <w:bCs/>
          <w:i/>
          <w:iCs/>
        </w:rPr>
        <w:t>Proceedings to Date</w:t>
      </w:r>
    </w:p>
    <w:p>
      <w:pPr>
        <w:pStyle w:val="Header"/>
        <w:tabs>
          <w:tab w:val="clear" w:pos="4320"/>
          <w:tab w:val="clear" w:pos="8640"/>
        </w:tabs>
        <w:rPr>
          <w:b/>
          <w:bCs/>
          <w:i/>
          <w:i/>
          <w:iCs/>
        </w:rPr>
      </w:pPr>
      <w:r>
        <w:rPr>
          <w:b/>
          <w:bCs/>
          <w:i/>
          <w:iCs/>
        </w:rPr>
      </w:r>
    </w:p>
    <w:p>
      <w:pPr>
        <w:pStyle w:val="Normal"/>
        <w:numPr>
          <w:ilvl w:val="0"/>
          <w:numId w:val="2"/>
        </w:numPr>
        <w:tabs>
          <w:tab w:val="clear" w:pos="720"/>
        </w:tabs>
        <w:rPr/>
      </w:pPr>
      <w:r>
        <w:rPr/>
        <w:t>All Parties submitted sales data on bilateral transactions to the ALJ and her staff on a confidential basis August 17, 2001.</w:t>
      </w:r>
    </w:p>
    <w:p>
      <w:pPr>
        <w:pStyle w:val="Header"/>
        <w:tabs>
          <w:tab w:val="clear" w:pos="4320"/>
          <w:tab w:val="clear" w:pos="8640"/>
        </w:tabs>
        <w:rPr/>
      </w:pPr>
      <w:r>
        <w:rPr/>
      </w:r>
    </w:p>
    <w:p>
      <w:pPr>
        <w:pStyle w:val="Normal"/>
        <w:numPr>
          <w:ilvl w:val="0"/>
          <w:numId w:val="2"/>
        </w:numPr>
        <w:rPr/>
      </w:pPr>
      <w:r>
        <w:rPr/>
        <w:t>Parties with “affirmative” claims for refunds submitted their testimony August 17, 2001.  Enron is alleged to owe $102.3 MM to 6 parties (CSL, EWEB, City of Tacoma, CDWR, Modesto, SMUD).</w:t>
      </w:r>
    </w:p>
    <w:p>
      <w:pPr>
        <w:pStyle w:val="Normal"/>
        <w:rPr/>
      </w:pPr>
      <w:r>
        <w:rPr/>
      </w:r>
    </w:p>
    <w:p>
      <w:pPr>
        <w:pStyle w:val="Normal"/>
        <w:numPr>
          <w:ilvl w:val="0"/>
          <w:numId w:val="2"/>
        </w:numPr>
        <w:rPr/>
      </w:pPr>
      <w:r>
        <w:rPr/>
        <w:t>Parties that oppose refunds, but who want to reserve their ability to seek refunds later can submit “ripple” claims on August 27, 2001 in “Offer of Proof”.</w:t>
      </w:r>
      <w:r>
        <w:rPr>
          <w:rStyle w:val="FootnoteCharacters"/>
          <w:rStyle w:val="FootnoteReference"/>
        </w:rPr>
        <w:footnoteReference w:id="2"/>
      </w:r>
      <w:r>
        <w:rPr/>
        <w:t xml:space="preserve">  Enron intends to file this to preserve our rights and to keep the burden and focus on primary claimants (rather than make primary claim).</w:t>
      </w:r>
    </w:p>
    <w:p>
      <w:pPr>
        <w:pStyle w:val="Normal"/>
        <w:rPr/>
      </w:pPr>
      <w:r>
        <w:rPr/>
      </w:r>
    </w:p>
    <w:p>
      <w:pPr>
        <w:pStyle w:val="Normal"/>
        <w:numPr>
          <w:ilvl w:val="0"/>
          <w:numId w:val="2"/>
        </w:numPr>
        <w:rPr/>
      </w:pPr>
      <w:r>
        <w:rPr/>
        <w:t>TFG filed Order Deferring Ripple Refund Claims to a Later Phase in the Proceeding and is asking ALJ to sign.</w:t>
      </w:r>
    </w:p>
    <w:p>
      <w:pPr>
        <w:pStyle w:val="Normal"/>
        <w:rPr/>
      </w:pPr>
      <w:r>
        <w:rPr/>
      </w:r>
    </w:p>
    <w:p>
      <w:pPr>
        <w:pStyle w:val="Normal"/>
        <w:numPr>
          <w:ilvl w:val="0"/>
          <w:numId w:val="2"/>
        </w:numPr>
        <w:rPr/>
      </w:pPr>
      <w:r>
        <w:rPr/>
        <w:t>ALJ may rule on the California Parties participation as early as today – if we are successful, CDWR’s transactions would be removed from discussion ($1.7 B total refund claim).</w:t>
      </w:r>
    </w:p>
    <w:p>
      <w:pPr>
        <w:pStyle w:val="Normal"/>
        <w:rPr/>
      </w:pPr>
      <w:r>
        <w:rPr/>
      </w:r>
    </w:p>
    <w:p>
      <w:pPr>
        <w:pStyle w:val="Normal"/>
        <w:numPr>
          <w:ilvl w:val="0"/>
          <w:numId w:val="2"/>
        </w:numPr>
        <w:rPr/>
      </w:pPr>
      <w:r>
        <w:rPr/>
        <w:t>Testimony rebutting the primary claimants case is due August 27, 2001.  Enron is working within the TFG.</w:t>
      </w:r>
    </w:p>
    <w:p>
      <w:pPr>
        <w:pStyle w:val="Normal"/>
        <w:rPr/>
      </w:pPr>
      <w:r>
        <w:rPr/>
      </w:r>
    </w:p>
    <w:p>
      <w:pPr>
        <w:pStyle w:val="Normal"/>
        <w:numPr>
          <w:ilvl w:val="0"/>
          <w:numId w:val="2"/>
        </w:numPr>
        <w:rPr/>
      </w:pPr>
      <w:r>
        <w:rPr/>
        <w:t>ALJ intends to file her Proposed Findings on September 17, 2001.  No defined date for FERC to act on this case.</w:t>
      </w:r>
    </w:p>
    <w:p>
      <w:pPr>
        <w:pStyle w:val="Normal"/>
        <w:rPr/>
      </w:pPr>
      <w:r>
        <w:rPr/>
      </w:r>
    </w:p>
    <w:p>
      <w:pPr>
        <w:pStyle w:val="Normal"/>
        <w:rPr>
          <w:b/>
          <w:bCs/>
          <w:i/>
          <w:i/>
          <w:iCs/>
        </w:rPr>
      </w:pPr>
      <w:r>
        <w:rPr>
          <w:b/>
          <w:bCs/>
          <w:i/>
          <w:iCs/>
        </w:rPr>
        <w:t>3.</w:t>
        <w:tab/>
        <w:t>EPMI Ripple Claim – Key Issues</w:t>
      </w:r>
    </w:p>
    <w:p>
      <w:pPr>
        <w:pStyle w:val="Normal"/>
        <w:rPr>
          <w:b/>
          <w:bCs/>
          <w:i/>
          <w:i/>
          <w:iCs/>
        </w:rPr>
      </w:pPr>
      <w:r>
        <w:rPr>
          <w:b/>
          <w:bCs/>
          <w:i/>
          <w:iCs/>
        </w:rPr>
      </w:r>
    </w:p>
    <w:p>
      <w:pPr>
        <w:pStyle w:val="Normal"/>
        <w:numPr>
          <w:ilvl w:val="0"/>
          <w:numId w:val="1"/>
        </w:numPr>
        <w:rPr/>
      </w:pPr>
      <w:r>
        <w:rPr/>
        <w:t>File all transactions, including bookouts</w:t>
      </w:r>
    </w:p>
    <w:p>
      <w:pPr>
        <w:pStyle w:val="Normal"/>
        <w:rPr/>
      </w:pPr>
      <w:r>
        <w:rPr/>
      </w:r>
    </w:p>
    <w:p>
      <w:pPr>
        <w:pStyle w:val="Normal"/>
        <w:numPr>
          <w:ilvl w:val="1"/>
          <w:numId w:val="1"/>
        </w:numPr>
        <w:tabs>
          <w:tab w:val="left" w:pos="720" w:leader="none"/>
        </w:tabs>
        <w:ind w:hanging="360" w:start="720" w:end="0"/>
        <w:rPr/>
      </w:pPr>
      <w:r>
        <w:rPr/>
        <w:t>Pro:</w:t>
      </w:r>
    </w:p>
    <w:p>
      <w:pPr>
        <w:pStyle w:val="Normal"/>
        <w:numPr>
          <w:ilvl w:val="2"/>
          <w:numId w:val="1"/>
        </w:numPr>
        <w:rPr/>
      </w:pPr>
      <w:r>
        <w:rPr/>
        <w:t>Highlights the insanity of pursuing this option – the $ magnitude grows tremendously</w:t>
      </w:r>
    </w:p>
    <w:p>
      <w:pPr>
        <w:pStyle w:val="Normal"/>
        <w:numPr>
          <w:ilvl w:val="1"/>
          <w:numId w:val="1"/>
        </w:numPr>
        <w:tabs>
          <w:tab w:val="left" w:pos="720" w:leader="none"/>
        </w:tabs>
        <w:ind w:hanging="360" w:start="720" w:end="0"/>
        <w:rPr/>
      </w:pPr>
      <w:r>
        <w:rPr/>
        <w:t>Con:</w:t>
      </w:r>
    </w:p>
    <w:p>
      <w:pPr>
        <w:pStyle w:val="Normal"/>
        <w:numPr>
          <w:ilvl w:val="2"/>
          <w:numId w:val="1"/>
        </w:numPr>
        <w:rPr/>
      </w:pPr>
      <w:r>
        <w:rPr/>
        <w:t>Bookouts are not FERC jurisdictional – including these transactions may raise overall regulatory concern that they do not “regulate” market</w:t>
      </w:r>
    </w:p>
    <w:p>
      <w:pPr>
        <w:pStyle w:val="Normal"/>
        <w:numPr>
          <w:ilvl w:val="2"/>
          <w:numId w:val="1"/>
        </w:numPr>
        <w:rPr/>
      </w:pPr>
      <w:r>
        <w:rPr/>
        <w:t>Huge increase in the number of transactions increases the likelihood that our internal calculations are mistaken</w:t>
      </w:r>
    </w:p>
    <w:p>
      <w:pPr>
        <w:pStyle w:val="Normal"/>
        <w:rPr/>
      </w:pPr>
      <w:r>
        <w:rPr/>
        <w:br/>
        <w:t xml:space="preserve">Recommendation:  </w:t>
        <w:tab/>
        <w:t>Include bookouts in the “Offer of Proof” claim.</w:t>
      </w:r>
    </w:p>
    <w:p>
      <w:pPr>
        <w:pStyle w:val="Normal"/>
        <w:rPr/>
      </w:pPr>
      <w:r>
        <w:rPr/>
      </w:r>
    </w:p>
    <w:p>
      <w:pPr>
        <w:pStyle w:val="Normal"/>
        <w:numPr>
          <w:ilvl w:val="0"/>
          <w:numId w:val="1"/>
        </w:numPr>
        <w:rPr/>
      </w:pPr>
      <w:r>
        <w:rPr/>
        <w:t>Provide Sales &amp; Purchases transactions</w:t>
      </w:r>
    </w:p>
    <w:p>
      <w:pPr>
        <w:pStyle w:val="Normal"/>
        <w:rPr/>
      </w:pPr>
      <w:r>
        <w:rPr/>
      </w:r>
    </w:p>
    <w:p>
      <w:pPr>
        <w:pStyle w:val="Normal"/>
        <w:numPr>
          <w:ilvl w:val="1"/>
          <w:numId w:val="1"/>
        </w:numPr>
        <w:tabs>
          <w:tab w:val="left" w:pos="720" w:leader="none"/>
        </w:tabs>
        <w:ind w:hanging="360" w:start="720" w:end="0"/>
        <w:rPr/>
      </w:pPr>
      <w:r>
        <w:rPr/>
        <w:t>Pro:</w:t>
      </w:r>
    </w:p>
    <w:p>
      <w:pPr>
        <w:pStyle w:val="Normal"/>
        <w:numPr>
          <w:ilvl w:val="2"/>
          <w:numId w:val="1"/>
        </w:numPr>
        <w:rPr/>
      </w:pPr>
      <w:r>
        <w:rPr/>
        <w:t>Provides a balanced approach to our message that “netting” implies calculating both the sales and purchases refund</w:t>
      </w:r>
    </w:p>
    <w:p>
      <w:pPr>
        <w:pStyle w:val="Normal"/>
        <w:numPr>
          <w:ilvl w:val="1"/>
          <w:numId w:val="1"/>
        </w:numPr>
        <w:tabs>
          <w:tab w:val="left" w:pos="720" w:leader="none"/>
        </w:tabs>
        <w:ind w:hanging="360" w:start="720" w:end="0"/>
        <w:rPr/>
      </w:pPr>
      <w:r>
        <w:rPr/>
        <w:t>Con:</w:t>
      </w:r>
    </w:p>
    <w:p>
      <w:pPr>
        <w:pStyle w:val="Normal"/>
        <w:numPr>
          <w:ilvl w:val="2"/>
          <w:numId w:val="1"/>
        </w:numPr>
        <w:rPr/>
      </w:pPr>
      <w:r>
        <w:rPr/>
        <w:t>Our sales transaction list may include figures that parties that buy from us don’t include – increases our exposure</w:t>
      </w:r>
    </w:p>
    <w:p>
      <w:pPr>
        <w:pStyle w:val="Normal"/>
        <w:rPr/>
      </w:pPr>
      <w:r>
        <w:rPr/>
        <w:br/>
        <w:t xml:space="preserve">Recommendation:  </w:t>
        <w:tab/>
        <w:t>Do not include sales in the “Offer of Proof” claim.</w:t>
      </w:r>
    </w:p>
    <w:p>
      <w:pPr>
        <w:pStyle w:val="Normal"/>
        <w:rPr/>
      </w:pPr>
      <w:r>
        <w:rPr/>
      </w:r>
    </w:p>
    <w:p>
      <w:pPr>
        <w:pStyle w:val="Normal"/>
        <w:rPr/>
      </w:pPr>
      <w:r>
        <w:rPr/>
      </w:r>
    </w:p>
    <w:p>
      <w:pPr>
        <w:pStyle w:val="Normal"/>
        <w:rPr/>
      </w:pPr>
      <w:r>
        <w:rPr/>
      </w:r>
    </w:p>
    <w:sectPr>
      <w:headerReference w:type="default" r:id="rId2"/>
      <w:footerReference w:type="default" r:id="rId3"/>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bCs/>
      </w:rPr>
    </w:pPr>
    <w:r>
      <w:rPr>
        <w:b/>
        <w:bCs/>
      </w:rPr>
      <w:t>ATTORNEY CLIENT PRIVILEGE</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 counterclaim is my claim against somebody who has asserted a claim against me.  A cross-claim is my claim against a third party who has NOT asserted a claim against me.  An "offset" is a valid deduction based on another party owing me for some unpaid bill.  A ripple claim is any refund claim that could potentially be asserted by a party that has expressed an opposition to refunds in this case.  Ripple claims emerge sequentially in response to affirmative refund claim of party.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28"/>
      </w:rPr>
    </w:pPr>
    <w:r>
      <w:rPr>
        <w:b/>
        <w:bCs/>
        <w:sz w:val="28"/>
      </w:rPr>
      <w:t>PNW Refund Update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720"/>
      </w:pPr>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bullet"/>
      <w:lvlText w:val="o"/>
      <w:lvlJc w:val="start"/>
      <w:pPr>
        <w:tabs>
          <w:tab w:val="num" w:pos="720"/>
        </w:tabs>
        <w:ind w:start="720" w:hanging="360"/>
      </w:pPr>
      <w:rPr>
        <w:rFonts w:ascii="Courier New" w:hAnsi="Courier New" w:cs="Courier New" w:hint="default"/>
      </w:rPr>
    </w:lvl>
  </w:abstractNum>
  <w:abstractNum w:abstractNumId="3">
    <w:lvl w:ilvl="0">
      <w:start w:val="1"/>
      <w:numFmt w:val="bullet"/>
      <w:lvlText w:val="o"/>
      <w:lvlJc w:val="start"/>
      <w:pPr>
        <w:tabs>
          <w:tab w:val="num" w:pos="720"/>
        </w:tabs>
        <w:ind w:start="720" w:hanging="360"/>
      </w:pPr>
      <w:rPr>
        <w:rFonts w:ascii="Courier New" w:hAnsi="Courier New" w:cs="Courier New" w:hint="default"/>
      </w:rPr>
    </w:lvl>
  </w:abstractNum>
  <w:abstractNum w:abstractNumId="4">
    <w:lvl w:ilvl="0">
      <w:start w:val="1"/>
      <w:numFmt w:val="decimal"/>
      <w:lvlText w:val="%1."/>
      <w:lvlJc w:val="start"/>
      <w:pPr>
        <w:tabs>
          <w:tab w:val="num" w:pos="720"/>
        </w:tabs>
        <w:ind w:start="720" w:hanging="72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1z1">
    <w:name w:val="WW8Num1z1"/>
    <w:qFormat/>
    <w:rPr>
      <w:rFonts w:ascii="Courier New" w:hAnsi="Courier New" w:cs="Courier New"/>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5z1">
    <w:name w:val="WW8Num5z1"/>
    <w:qFormat/>
    <w:rPr>
      <w:rFonts w:ascii="Courier New" w:hAnsi="Courier New" w:cs="Courier New"/>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2001-08-22T20:17:00Z</dcterms:created>
  <dc:creator>jsteffe</dc:creator>
  <dc:description/>
  <dc:language>en-CA</dc:language>
  <cp:lastModifiedBy>jsteffe</cp:lastModifiedBy>
  <dcterms:modified xsi:type="dcterms:W3CDTF">2001-08-23T11:31:00Z</dcterms:modified>
  <cp:revision>3</cp:revision>
  <dc:subject/>
  <dc:title>1</dc:title>
</cp:coreProperties>
</file>