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 E M O R A N D U M</w:t>
      </w:r>
    </w:p>
    <w:p>
      <w:pPr>
        <w:pStyle w:val="Normal"/>
        <w:jc w:val="both"/>
        <w:rPr>
          <w:sz w:val="28"/>
        </w:rPr>
      </w:pPr>
      <w:r>
        <w:rPr>
          <w:sz w:val="28"/>
        </w:rPr>
      </w:r>
    </w:p>
    <w:p>
      <w:pPr>
        <w:pStyle w:val="Normal"/>
        <w:jc w:val="both"/>
        <w:rPr>
          <w:sz w:val="28"/>
        </w:rPr>
      </w:pPr>
      <w:r>
        <w:rPr>
          <w:sz w:val="28"/>
        </w:rPr>
      </w:r>
    </w:p>
    <w:p>
      <w:pPr>
        <w:pStyle w:val="Heading1"/>
        <w:ind w:hanging="0" w:start="0"/>
        <w:rPr/>
      </w:pPr>
      <w:r>
        <w:rPr/>
        <w:t>TO:</w:t>
        <w:tab/>
        <w:tab/>
        <w:t>James D. Steffes</w:t>
      </w:r>
    </w:p>
    <w:p>
      <w:pPr>
        <w:pStyle w:val="Normal"/>
        <w:rPr/>
      </w:pPr>
      <w:r>
        <w:rPr/>
        <w:tab/>
        <w:tab/>
      </w:r>
      <w:r>
        <w:rPr>
          <w:sz w:val="24"/>
        </w:rPr>
        <w:t>Robert Frank</w:t>
      </w:r>
    </w:p>
    <w:p>
      <w:pPr>
        <w:pStyle w:val="Normal"/>
        <w:jc w:val="both"/>
        <w:rPr>
          <w:sz w:val="24"/>
        </w:rPr>
      </w:pPr>
      <w:r>
        <w:rPr>
          <w:sz w:val="24"/>
        </w:rPr>
      </w:r>
    </w:p>
    <w:p>
      <w:pPr>
        <w:pStyle w:val="Normal"/>
        <w:jc w:val="both"/>
        <w:rPr>
          <w:sz w:val="24"/>
        </w:rPr>
      </w:pPr>
      <w:r>
        <w:rPr>
          <w:sz w:val="24"/>
        </w:rPr>
        <w:t>FROM:</w:t>
        <w:tab/>
        <w:t>Dan Watkiss</w:t>
      </w:r>
    </w:p>
    <w:p>
      <w:pPr>
        <w:pStyle w:val="Normal"/>
        <w:jc w:val="both"/>
        <w:rPr>
          <w:sz w:val="24"/>
        </w:rPr>
      </w:pPr>
      <w:r>
        <w:rPr>
          <w:sz w:val="24"/>
        </w:rPr>
      </w:r>
    </w:p>
    <w:p>
      <w:pPr>
        <w:pStyle w:val="Normal"/>
        <w:jc w:val="both"/>
        <w:rPr>
          <w:sz w:val="24"/>
        </w:rPr>
      </w:pPr>
      <w:r>
        <w:rPr>
          <w:sz w:val="24"/>
        </w:rPr>
        <w:t>DATE:</w:t>
        <w:tab/>
        <w:tab/>
        <w:t>23 October 2001</w:t>
      </w:r>
    </w:p>
    <w:p>
      <w:pPr>
        <w:pStyle w:val="Normal"/>
        <w:jc w:val="both"/>
        <w:rPr>
          <w:sz w:val="24"/>
        </w:rPr>
      </w:pPr>
      <w:r>
        <w:rPr>
          <w:sz w:val="24"/>
        </w:rPr>
      </w:r>
    </w:p>
    <w:p>
      <w:pPr>
        <w:pStyle w:val="Normal"/>
        <w:pBdr>
          <w:bottom w:val="single" w:sz="12" w:space="1" w:color="000000"/>
        </w:pBdr>
        <w:jc w:val="both"/>
        <w:rPr>
          <w:sz w:val="24"/>
        </w:rPr>
      </w:pPr>
      <w:r>
        <w:rPr>
          <w:sz w:val="24"/>
        </w:rPr>
        <w:t>RE:</w:t>
        <w:tab/>
        <w:tab/>
        <w:t>Pacific Northwest Refund Case</w:t>
      </w:r>
    </w:p>
    <w:p>
      <w:pPr>
        <w:pStyle w:val="Normal"/>
        <w:jc w:val="both"/>
        <w:rPr>
          <w:sz w:val="24"/>
        </w:rPr>
      </w:pPr>
      <w:r>
        <w:rPr>
          <w:sz w:val="24"/>
        </w:rPr>
      </w:r>
    </w:p>
    <w:p>
      <w:pPr>
        <w:pStyle w:val="Normal"/>
        <w:jc w:val="both"/>
        <w:rPr>
          <w:sz w:val="24"/>
        </w:rPr>
      </w:pPr>
      <w:r>
        <w:rPr>
          <w:sz w:val="24"/>
        </w:rPr>
        <w:tab/>
        <w:t>The amount of fees and costs billed to date are $131,438.70.  There are and addition $120,422.50 in unbilled fees and $24,220.21 in unbilled costs; I hope to get out an invoice for these either later this week or early next week.  A billing summary is shown below:</w:t>
      </w:r>
    </w:p>
    <w:p>
      <w:pPr>
        <w:pStyle w:val="Normal"/>
        <w:jc w:val="both"/>
        <w:rPr>
          <w:sz w:val="24"/>
        </w:rPr>
      </w:pPr>
      <w:r>
        <w:rPr>
          <w:sz w:val="24"/>
        </w:rPr>
      </w:r>
    </w:p>
    <w:p>
      <w:pPr>
        <w:pStyle w:val="Normal"/>
        <w:jc w:val="both"/>
        <w:rPr>
          <w:sz w:val="24"/>
        </w:rPr>
      </w:pPr>
      <w:r>
        <w:rPr>
          <w:sz w:val="24"/>
        </w:rPr>
        <w:tab/>
        <w:tab/>
        <w:t>Total Billed Fees &amp; Costs (To-Date)  . . . . . . .   $131,488.70</w:t>
      </w:r>
    </w:p>
    <w:p>
      <w:pPr>
        <w:pStyle w:val="Normal"/>
        <w:jc w:val="both"/>
        <w:rPr>
          <w:sz w:val="24"/>
        </w:rPr>
      </w:pPr>
      <w:r>
        <w:rPr>
          <w:sz w:val="24"/>
        </w:rPr>
        <w:tab/>
        <w:tab/>
        <w:t>Total Unbilled Time  . . . . . . . . . . . . . . . . . . . .   $120,422.50</w:t>
      </w:r>
    </w:p>
    <w:p>
      <w:pPr>
        <w:pStyle w:val="Normal"/>
        <w:jc w:val="both"/>
        <w:rPr>
          <w:sz w:val="24"/>
        </w:rPr>
      </w:pPr>
      <w:r>
        <w:rPr>
          <w:sz w:val="24"/>
        </w:rPr>
        <w:tab/>
        <w:tab/>
        <w:t>Total Unbilled Costs . . . . . . . . . . . . . . . . . . . .   $  24,220.21</w:t>
      </w:r>
    </w:p>
    <w:p>
      <w:pPr>
        <w:pStyle w:val="Normal"/>
        <w:jc w:val="both"/>
        <w:rPr>
          <w:sz w:val="24"/>
        </w:rPr>
      </w:pPr>
      <w:r>
        <w:rPr>
          <w:sz w:val="24"/>
        </w:rPr>
      </w:r>
    </w:p>
    <w:p>
      <w:pPr>
        <w:pStyle w:val="Normal"/>
        <w:jc w:val="both"/>
        <w:rPr>
          <w:sz w:val="24"/>
        </w:rPr>
      </w:pPr>
      <w:r>
        <w:rPr>
          <w:sz w:val="24"/>
        </w:rPr>
        <w:tab/>
        <w:tab/>
        <w:tab/>
        <w:tab/>
        <w:tab/>
        <w:t>TOTAL                            $276,081.41</w:t>
      </w:r>
    </w:p>
    <w:p>
      <w:pPr>
        <w:pStyle w:val="Normal"/>
        <w:jc w:val="both"/>
        <w:rPr>
          <w:sz w:val="24"/>
        </w:rPr>
      </w:pPr>
      <w:r>
        <w:rPr>
          <w:sz w:val="24"/>
        </w:rPr>
      </w:r>
    </w:p>
    <w:p>
      <w:pPr>
        <w:pStyle w:val="Normal"/>
        <w:jc w:val="both"/>
        <w:rPr>
          <w:sz w:val="24"/>
        </w:rPr>
      </w:pPr>
      <w:r>
        <w:rPr>
          <w:sz w:val="24"/>
        </w:rPr>
        <w:tab/>
        <w:t>I have made arrangements for others in the TFG to do most of the work on drafting the Comments that FERC has requested on Judge Cintron’s Report.  The Group, however, has asked me to work on the final edit, which should only take an hour or two of my time.  After that is complete, I predict there should be no further expenses in connection with this case.  If I prove to be wrong and FERC convenes further proceedings or any of the intervening complainants in the case seek judicial review, I shall promptly notify you.</w:t>
      </w:r>
    </w:p>
    <w:p>
      <w:pPr>
        <w:pStyle w:val="Normal"/>
        <w:jc w:val="both"/>
        <w:rPr>
          <w:sz w:val="24"/>
        </w:rPr>
      </w:pPr>
      <w:r>
        <w:rPr>
          <w:sz w:val="24"/>
        </w:rPr>
      </w:r>
    </w:p>
    <w:p>
      <w:pPr>
        <w:pStyle w:val="Normal"/>
        <w:jc w:val="both"/>
        <w:rPr/>
      </w:pPr>
      <w:r>
        <w:rPr>
          <w:sz w:val="24"/>
        </w:rPr>
        <w:tab/>
        <w:t xml:space="preserve">I recognize that we significantly exceeded our initial budget, but I hope that you agree that the result achieved was worth it.  Under the incredibly difficult time pressures ― our team of two (and sometimes three) lawyers and three paralegals worked 12-plus hour days every day for a month ― we were able to completely shut down the claims of the Pacific Northwest and California parties, which (excluding ripple claims) exceeded $50 million in claims against Enron.  Moreover, we were able to do this after the Judge allowed the intervention of the California claimants, which together with my designation as one of the Respondents’ two lead counsels, substantially increased the scope of work relative to what was contemplated in my initial estimate. </w:t>
      </w:r>
    </w:p>
    <w:p>
      <w:pPr>
        <w:pStyle w:val="Normal"/>
        <w:jc w:val="both"/>
        <w:rPr>
          <w:sz w:val="24"/>
        </w:rPr>
      </w:pPr>
      <w:r>
        <w:rPr>
          <w:sz w:val="24"/>
        </w:rPr>
      </w:r>
    </w:p>
    <w:p>
      <w:pPr>
        <w:pStyle w:val="Normal"/>
        <w:ind w:firstLine="720" w:end="0"/>
        <w:jc w:val="both"/>
        <w:rPr>
          <w:sz w:val="24"/>
        </w:rPr>
      </w:pPr>
      <w:r>
        <w:rPr>
          <w:sz w:val="24"/>
        </w:rPr>
        <w:t>I hope you share my view that this effort was worth the expense.  Further, together with all of my team, I thank you, Rick and Steve for entrusting this obviously important case with us.</w:t>
      </w:r>
    </w:p>
    <w:p>
      <w:pPr>
        <w:pStyle w:val="Normal"/>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3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2001-10-24T01:28:00Z</dcterms:created>
  <dc:creator>B&amp;P</dc:creator>
  <dc:description/>
  <dc:language>en-CA</dc:language>
  <cp:lastModifiedBy>B&amp;P</cp:lastModifiedBy>
  <dcterms:modified xsi:type="dcterms:W3CDTF">2001-10-24T01:28:00Z</dcterms:modified>
  <cp:revision>2</cp:revision>
  <dc:subject/>
  <dc:title>M E M O R A N D U M</dc:title>
</cp:coreProperties>
</file>