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Jay Golub</w:t>
      </w:r>
    </w:p>
    <w:p>
      <w:pPr>
        <w:pStyle w:val="Normal"/>
        <w:rPr>
          <w:rFonts w:ascii="Arial" w:hAnsi="Arial" w:cs="Arial"/>
        </w:rPr>
      </w:pPr>
      <w:r>
        <w:rPr>
          <w:rFonts w:cs="Arial" w:ascii="Arial" w:hAnsi="Arial"/>
        </w:rPr>
        <w:t>Baker &amp; Botts</w:t>
      </w:r>
    </w:p>
    <w:p>
      <w:pPr>
        <w:pStyle w:val="Normal"/>
        <w:rPr>
          <w:rFonts w:ascii="Arial" w:hAnsi="Arial" w:cs="Arial"/>
        </w:rPr>
      </w:pPr>
      <w:r>
        <w:rPr>
          <w:rFonts w:cs="Arial" w:ascii="Arial" w:hAnsi="Arial"/>
        </w:rPr>
        <w:t>The Warner</w:t>
      </w:r>
    </w:p>
    <w:p>
      <w:pPr>
        <w:pStyle w:val="Normal"/>
        <w:rPr>
          <w:rFonts w:ascii="Arial" w:hAnsi="Arial" w:cs="Arial"/>
        </w:rPr>
      </w:pPr>
      <w:r>
        <w:rPr>
          <w:rFonts w:cs="Arial" w:ascii="Arial" w:hAnsi="Arial"/>
        </w:rPr>
        <w:t>1299 Pennsylvania Ave., N.W.</w:t>
      </w:r>
    </w:p>
    <w:p>
      <w:pPr>
        <w:pStyle w:val="Normal"/>
        <w:rPr>
          <w:rFonts w:ascii="Arial" w:hAnsi="Arial" w:cs="Arial"/>
        </w:rPr>
      </w:pPr>
      <w:r>
        <w:rPr>
          <w:rFonts w:cs="Arial" w:ascii="Arial" w:hAnsi="Arial"/>
        </w:rPr>
        <w:t>Washington, D.C.  20004-2400</w:t>
      </w:r>
    </w:p>
    <w:p>
      <w:pPr>
        <w:pStyle w:val="Normal"/>
        <w:rPr>
          <w:rFonts w:ascii="Arial" w:hAnsi="Arial" w:cs="Arial"/>
        </w:rPr>
      </w:pPr>
      <w:r>
        <w:rPr>
          <w:rFonts w:cs="Arial" w:ascii="Arial" w:hAnsi="Arial"/>
        </w:rPr>
      </w:r>
    </w:p>
    <w:p>
      <w:pPr>
        <w:pStyle w:val="Normal"/>
        <w:ind w:start="2520" w:end="0"/>
        <w:rPr>
          <w:rFonts w:ascii="Arial" w:hAnsi="Arial" w:cs="Arial"/>
          <w:u w:val="single"/>
        </w:rPr>
      </w:pPr>
      <w:r>
        <w:rPr>
          <w:rFonts w:cs="Arial" w:ascii="Arial" w:hAnsi="Arial"/>
        </w:rPr>
        <w:t xml:space="preserve">Re:  El Paso Natural Gas Company; </w:t>
      </w:r>
    </w:p>
    <w:p>
      <w:pPr>
        <w:pStyle w:val="Normal"/>
        <w:ind w:start="2520" w:end="0"/>
        <w:rPr>
          <w:rFonts w:ascii="Arial" w:hAnsi="Arial" w:cs="Arial"/>
          <w:u w:val="single"/>
        </w:rPr>
      </w:pPr>
      <w:r>
        <w:rPr>
          <w:rFonts w:eastAsia="Arial" w:cs="Arial" w:ascii="Arial" w:hAnsi="Arial"/>
          <w:u w:val="single"/>
        </w:rPr>
        <w:t xml:space="preserve">        </w:t>
      </w:r>
      <w:r>
        <w:rPr>
          <w:rFonts w:cs="Arial" w:ascii="Arial" w:hAnsi="Arial"/>
          <w:u w:val="single"/>
        </w:rPr>
        <w:t>Docket Nos. RP00-336-000, et al.</w:t>
      </w:r>
    </w:p>
    <w:p>
      <w:pPr>
        <w:pStyle w:val="Normal"/>
        <w:ind w:start="2520" w:end="0"/>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Dear Mr. Golub:</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ab/>
        <w:t>By letter dated September 6, 2001, Public Service Company of New Mexico submitted informal data requests to El Paso Natural Gas Company as a result of the August 28, 2001 Technical Conference held at Docket Nos. RP00</w:t>
        <w:noBreakHyphen/>
        <w:t xml:space="preserve">336-000, et al.  Enclosed are responses to Request Nos. 1 and 4.  El Paso has not provided responses to Request Nos. 2-3 and 5-9, since these requests are not relevant to the issues raised in this proceeding and/or to respond would be unduly burdensome for El Paso.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William H. Healy, Jr.</w:t>
      </w:r>
    </w:p>
    <w:p>
      <w:pPr>
        <w:pStyle w:val="Normal"/>
        <w:tabs>
          <w:tab w:val="clear" w:pos="720"/>
          <w:tab w:val="left" w:pos="4860" w:leader="none"/>
        </w:tabs>
        <w:ind w:start="4140" w:end="0"/>
        <w:rPr>
          <w:rFonts w:ascii="Arial" w:hAnsi="Arial" w:cs="Arial"/>
        </w:rPr>
      </w:pPr>
      <w:r>
        <w:rPr>
          <w:rFonts w:cs="Arial" w:ascii="Arial" w:hAnsi="Arial"/>
        </w:rPr>
        <w:tab/>
        <w:tab/>
        <w:t xml:space="preserve">               Vice President</w:t>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w:t>
        <w:tab/>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pStyle w:val="Normal"/>
        <w:jc w:val="both"/>
        <w:rPr>
          <w:rFonts w:ascii="Arial" w:hAnsi="Arial" w:cs="Arial"/>
        </w:rPr>
      </w:pPr>
      <w:r>
        <w:rPr>
          <w:rFonts w:cs="Arial" w:ascii="Arial" w:hAnsi="Arial"/>
        </w:rPr>
        <w:tab/>
        <w:t>(paper copies and electronic version provided)</w:t>
      </w:r>
    </w:p>
    <w:p>
      <w:pPr>
        <w:sectPr>
          <w:type w:val="nextPage"/>
          <w:pgSz w:w="12240" w:h="15840"/>
          <w:pgMar w:left="1800" w:right="1800"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jc w:val="center"/>
        <w:rPr>
          <w:rFonts w:ascii="Arial" w:hAnsi="Arial" w:cs="Arial"/>
          <w:u w:val="single"/>
        </w:rPr>
      </w:pPr>
      <w:r>
        <w:rPr>
          <w:rFonts w:cs="Arial" w:ascii="Arial" w:hAnsi="Arial"/>
          <w:u w:val="single"/>
        </w:rPr>
        <w:t xml:space="preserve">El Paso Natural Gas Company </w:t>
      </w:r>
    </w:p>
    <w:p>
      <w:pPr>
        <w:pStyle w:val="Heading1"/>
        <w:jc w:val="center"/>
        <w:rPr>
          <w:rFonts w:ascii="Arial" w:hAnsi="Arial" w:cs="Arial"/>
          <w:b/>
          <w:bCs/>
          <w:u w:val="single"/>
        </w:rPr>
      </w:pPr>
      <w:r>
        <w:rPr>
          <w:rFonts w:cs="Arial"/>
          <w:b/>
          <w:bCs/>
          <w:u w:val="single"/>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Normal"/>
        <w:jc w:val="center"/>
        <w:rPr>
          <w:rFonts w:ascii="Arial" w:hAnsi="Arial" w:cs="Arial"/>
          <w:u w:val="single"/>
        </w:rPr>
      </w:pPr>
      <w:r>
        <w:rPr>
          <w:rFonts w:cs="Arial" w:ascii="Arial" w:hAnsi="Arial"/>
          <w:u w:val="single"/>
        </w:rPr>
        <w:t>Requests of Public Service Company of New Mexico</w:t>
      </w:r>
    </w:p>
    <w:p>
      <w:pPr>
        <w:pStyle w:val="Normal"/>
        <w:jc w:val="center"/>
        <w:rPr>
          <w:u w:val="single"/>
        </w:rPr>
      </w:pPr>
      <w:r>
        <w:rPr>
          <w:rFonts w:cs="Arial" w:ascii="Arial" w:hAnsi="Arial"/>
        </w:rPr>
        <w:t>(September 24, 2001)</w:t>
      </w:r>
    </w:p>
    <w:p>
      <w:pPr>
        <w:pStyle w:val="Normal"/>
        <w:rPr>
          <w:u w:val="single"/>
        </w:rPr>
      </w:pPr>
      <w:r>
        <w:rPr>
          <w:u w:val="single"/>
        </w:rPr>
      </w:r>
    </w:p>
    <w:p>
      <w:pPr>
        <w:pStyle w:val="Normal"/>
        <w:jc w:val="both"/>
        <w:rPr/>
      </w:pPr>
      <w:r>
        <w:rPr>
          <w:rFonts w:cs="Arial" w:ascii="Arial" w:hAnsi="Arial"/>
          <w:u w:val="single"/>
        </w:rPr>
        <w:t>Request No. 1</w:t>
      </w:r>
      <w:r>
        <w:rPr>
          <w:rFonts w:cs="Arial" w:ascii="Arial" w:hAnsi="Arial"/>
        </w:rPr>
        <w:t>:</w:t>
        <w:tab/>
        <w:t xml:space="preserve">Please provide a copy of all existing firm contracts for mainline transportation service on the EPNG system. </w:t>
      </w:r>
    </w:p>
    <w:p>
      <w:pPr>
        <w:pStyle w:val="Normal"/>
        <w:rPr>
          <w:rFonts w:ascii="Arial" w:hAnsi="Arial" w:cs="Arial"/>
        </w:rPr>
      </w:pPr>
      <w:r>
        <w:rPr>
          <w:rFonts w:cs="Arial" w:ascii="Arial" w:hAnsi="Arial"/>
        </w:rPr>
      </w:r>
    </w:p>
    <w:p>
      <w:pPr>
        <w:pStyle w:val="TOC1"/>
        <w:rPr>
          <w:rFonts w:ascii="Arial" w:hAnsi="Arial" w:cs="Arial"/>
        </w:rPr>
      </w:pPr>
      <w:r>
        <w:rPr>
          <w:rFonts w:cs="Arial" w:ascii="Arial" w:hAnsi="Arial"/>
        </w:rPr>
      </w:r>
    </w:p>
    <w:p>
      <w:pPr>
        <w:pStyle w:val="Normal"/>
        <w:jc w:val="both"/>
        <w:rPr/>
      </w:pPr>
      <w:r>
        <w:rPr>
          <w:rFonts w:cs="Arial" w:ascii="Arial" w:hAnsi="Arial"/>
          <w:u w:val="single"/>
        </w:rPr>
        <w:t>Response No. 1</w:t>
      </w:r>
      <w:r>
        <w:rPr>
          <w:rFonts w:cs="Arial" w:ascii="Arial" w:hAnsi="Arial"/>
        </w:rPr>
        <w:t>:  Copies of EPNG’s full requirements contracts were filed with the Commission and served on all parties in this proceeding by letter dated August 22, 2001.  Additionally, the Index of Customers posted on EPNG’s electronic bulletin board lists all firm shippers and pertinent contract information.  Attached is a copy of El Paso's Index of Customers for the third quarter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u w:val="single"/>
        </w:rPr>
      </w:pPr>
      <w:r>
        <w:rPr>
          <w:rFonts w:cs="Arial" w:ascii="Arial" w:hAnsi="Arial"/>
          <w:u w:val="single"/>
        </w:rPr>
        <w:t xml:space="preserve">El Paso Natural Gas Company </w:t>
      </w:r>
    </w:p>
    <w:p>
      <w:pPr>
        <w:pStyle w:val="Heading1"/>
        <w:jc w:val="center"/>
        <w:rPr>
          <w:rFonts w:ascii="Arial" w:hAnsi="Arial" w:cs="Arial"/>
          <w:b/>
          <w:bCs/>
          <w:u w:val="single"/>
        </w:rPr>
      </w:pPr>
      <w:r>
        <w:rPr>
          <w:rFonts w:cs="Arial"/>
          <w:b/>
          <w:bCs/>
          <w:u w:val="single"/>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Normal"/>
        <w:jc w:val="center"/>
        <w:rPr>
          <w:rFonts w:ascii="Arial" w:hAnsi="Arial" w:cs="Arial"/>
        </w:rPr>
      </w:pPr>
      <w:r>
        <w:rPr>
          <w:rFonts w:cs="Arial" w:ascii="Arial" w:hAnsi="Arial"/>
          <w:u w:val="single"/>
        </w:rPr>
        <w:t>Requests of Public Service Company of New Mexico</w:t>
      </w:r>
    </w:p>
    <w:p>
      <w:pPr>
        <w:pStyle w:val="Normal"/>
        <w:jc w:val="center"/>
        <w:rPr>
          <w:rFonts w:ascii="Arial" w:hAnsi="Arial" w:cs="Arial"/>
        </w:rPr>
      </w:pPr>
      <w:r>
        <w:rPr>
          <w:rFonts w:cs="Arial" w:ascii="Arial" w:hAnsi="Arial"/>
        </w:rPr>
        <w:t>(September 24, 2001)</w:t>
      </w:r>
    </w:p>
    <w:p>
      <w:pPr>
        <w:pStyle w:val="Normal"/>
        <w:jc w:val="center"/>
        <w:rPr>
          <w:rFonts w:ascii="Arial" w:hAnsi="Arial" w:cs="Arial"/>
        </w:rPr>
      </w:pPr>
      <w:r>
        <w:rPr>
          <w:rFonts w:cs="Arial" w:ascii="Arial" w:hAnsi="Arial"/>
        </w:rPr>
      </w:r>
    </w:p>
    <w:p>
      <w:pPr>
        <w:pStyle w:val="Normal"/>
        <w:jc w:val="both"/>
        <w:rPr/>
      </w:pPr>
      <w:r>
        <w:rPr>
          <w:rFonts w:cs="Arial" w:ascii="Arial" w:hAnsi="Arial"/>
          <w:u w:val="single"/>
        </w:rPr>
        <w:t>Request No. 4</w:t>
      </w:r>
      <w:r>
        <w:rPr>
          <w:rFonts w:cs="Arial" w:ascii="Arial" w:hAnsi="Arial"/>
        </w:rPr>
        <w:t>:</w:t>
        <w:tab/>
        <w:t xml:space="preserve">For each contract identified in Request No. 1, please provide the coincident peak for calendar year 2000.  If the coincident peak is other than December 18, 2000, please provide the coincident peak for each full requirements contract. </w:t>
      </w:r>
    </w:p>
    <w:p>
      <w:pPr>
        <w:pStyle w:val="Normal"/>
        <w:rPr>
          <w:rFonts w:ascii="Arial" w:hAnsi="Arial" w:cs="Arial"/>
        </w:rPr>
      </w:pPr>
      <w:r>
        <w:rPr>
          <w:rFonts w:cs="Arial" w:ascii="Arial" w:hAnsi="Arial"/>
        </w:rPr>
      </w:r>
    </w:p>
    <w:p>
      <w:pPr>
        <w:pStyle w:val="Normal"/>
        <w:jc w:val="both"/>
        <w:rPr/>
      </w:pPr>
      <w:r>
        <w:rPr>
          <w:rFonts w:cs="Arial" w:ascii="Arial" w:hAnsi="Arial"/>
          <w:u w:val="single"/>
        </w:rPr>
        <w:t>Response No. 4</w:t>
      </w:r>
      <w:r>
        <w:rPr>
          <w:rFonts w:cs="Arial" w:ascii="Arial" w:hAnsi="Arial"/>
        </w:rPr>
        <w:t>:  Yes, the coincident peak for calendar year 2000 is December 18, 2000.  See El Paso's response to Citizens No. 2.</w:t>
      </w:r>
    </w:p>
    <w:p>
      <w:pPr>
        <w:pStyle w:val="TOC1"/>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6"/>
      <w:szCs w:val="20"/>
    </w:rPr>
  </w:style>
  <w:style w:type="paragraph" w:styleId="TOC1">
    <w:name w:val="toc 1"/>
    <w:basedOn w:val="Normal"/>
    <w:next w:val="Normal"/>
    <w:pPr>
      <w:jc w:val="both"/>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2001-09-14T15:51:00Z</dcterms:created>
  <dc:creator>El Paso Energy Corp</dc:creator>
  <dc:description/>
  <dc:language>en-CA</dc:language>
  <cp:lastModifiedBy>El Paso Energy Corp</cp:lastModifiedBy>
  <cp:lastPrinted>2001-09-24T17:42:00Z</cp:lastPrinted>
  <dcterms:modified xsi:type="dcterms:W3CDTF">2001-09-24T21:12:00Z</dcterms:modified>
  <cp:revision>47</cp:revision>
  <dc:subject/>
  <dc:title/>
</cp:coreProperties>
</file>