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3/10/00</w:t>
      </w:r>
    </w:p>
    <w:p>
      <w:pPr>
        <w:pStyle w:val="Normal"/>
        <w:jc w:val="center"/>
        <w:rPr>
          <w:sz w:val="24"/>
        </w:rPr>
      </w:pPr>
      <w:r>
        <w:rPr>
          <w:sz w:val="24"/>
        </w:rPr>
      </w:r>
    </w:p>
    <w:p>
      <w:pPr>
        <w:pStyle w:val="Normal"/>
        <w:rPr>
          <w:sz w:val="24"/>
        </w:rPr>
      </w:pPr>
      <w:r>
        <w:rPr>
          <w:sz w:val="24"/>
        </w:rPr>
      </w:r>
    </w:p>
    <w:p>
      <w:pPr>
        <w:pStyle w:val="Normal"/>
        <w:rPr>
          <w:sz w:val="24"/>
        </w:rPr>
      </w:pPr>
      <w:r>
        <w:rPr>
          <w:sz w:val="24"/>
        </w:rPr>
        <w:t>Mr. David P. Boergers, Secretary</w:t>
      </w:r>
    </w:p>
    <w:p>
      <w:pPr>
        <w:pStyle w:val="Normal"/>
        <w:rPr>
          <w:sz w:val="24"/>
        </w:rPr>
      </w:pPr>
      <w:r>
        <w:rPr>
          <w:sz w:val="24"/>
        </w:rPr>
        <w:t xml:space="preserve">Federal Energy Regulatory Commission </w:t>
      </w:r>
    </w:p>
    <w:p>
      <w:pPr>
        <w:pStyle w:val="Normal"/>
        <w:rPr>
          <w:sz w:val="24"/>
        </w:rPr>
      </w:pPr>
      <w:r>
        <w:rPr>
          <w:sz w:val="24"/>
        </w:rPr>
        <w:t>888 First Street, N.E.</w:t>
      </w:r>
    </w:p>
    <w:p>
      <w:pPr>
        <w:pStyle w:val="Normal"/>
        <w:rPr>
          <w:sz w:val="24"/>
        </w:rPr>
      </w:pPr>
      <w:r>
        <w:rPr>
          <w:sz w:val="24"/>
        </w:rPr>
        <w:t>Washington, D.C.  20426</w:t>
      </w:r>
    </w:p>
    <w:p>
      <w:pPr>
        <w:pStyle w:val="Normal"/>
        <w:rPr>
          <w:sz w:val="24"/>
        </w:rPr>
      </w:pPr>
      <w:r>
        <w:rPr>
          <w:sz w:val="24"/>
        </w:rPr>
      </w:r>
    </w:p>
    <w:p>
      <w:pPr>
        <w:pStyle w:val="Normal"/>
        <w:rPr>
          <w:sz w:val="24"/>
        </w:rPr>
      </w:pPr>
      <w:r>
        <w:rPr>
          <w:sz w:val="24"/>
        </w:rPr>
        <w:tab/>
        <w:t>Re:</w:t>
        <w:tab/>
        <w:t>Transwestern Pipeline Company</w:t>
      </w:r>
    </w:p>
    <w:p>
      <w:pPr>
        <w:pStyle w:val="Normal"/>
        <w:rPr/>
      </w:pPr>
      <w:r>
        <w:rPr>
          <w:sz w:val="24"/>
        </w:rPr>
        <w:tab/>
        <w:tab/>
      </w:r>
      <w:r>
        <w:rPr>
          <w:sz w:val="24"/>
          <w:u w:val="single"/>
        </w:rPr>
        <w:t>Docket No. RP00-</w:t>
        <w:tab/>
        <w:tab/>
        <w:t>    </w:t>
      </w:r>
    </w:p>
    <w:p>
      <w:pPr>
        <w:pStyle w:val="Normal"/>
        <w:rPr>
          <w:sz w:val="24"/>
          <w:u w:val="single"/>
        </w:rPr>
      </w:pPr>
      <w:r>
        <w:rPr>
          <w:sz w:val="24"/>
          <w:u w:val="single"/>
        </w:rPr>
      </w:r>
    </w:p>
    <w:p>
      <w:pPr>
        <w:pStyle w:val="Normal"/>
        <w:rPr>
          <w:sz w:val="24"/>
        </w:rPr>
      </w:pPr>
      <w:r>
        <w:rPr>
          <w:sz w:val="24"/>
        </w:rPr>
        <w:t>Dear Mr. Boergers:</w:t>
      </w:r>
    </w:p>
    <w:p>
      <w:pPr>
        <w:pStyle w:val="Normal"/>
        <w:rPr>
          <w:sz w:val="24"/>
        </w:rPr>
      </w:pPr>
      <w:r>
        <w:rPr>
          <w:sz w:val="24"/>
        </w:rPr>
      </w:r>
    </w:p>
    <w:p>
      <w:pPr>
        <w:pStyle w:val="BodyText2"/>
        <w:rPr/>
      </w:pPr>
      <w:r>
        <w:rPr/>
        <w:tab/>
        <w:t>Transwestern Pipeline Company ("Transwestern") submits for filing and acceptance an original and five (5) copies of the following tariff sheet as part of its FERC Gas Tariff, Second Revised Volume No. 1 to become effective _________, 2000:</w:t>
      </w:r>
    </w:p>
    <w:p>
      <w:pPr>
        <w:pStyle w:val="Normal"/>
        <w:rPr>
          <w:sz w:val="24"/>
        </w:rPr>
      </w:pPr>
      <w:r>
        <w:rPr>
          <w:sz w:val="24"/>
        </w:rPr>
      </w:r>
    </w:p>
    <w:p>
      <w:pPr>
        <w:pStyle w:val="Heading1"/>
        <w:ind w:hanging="0" w:start="0"/>
        <w:rPr/>
      </w:pPr>
      <w:r>
        <w:rPr/>
        <w:t>Second Revised Volume No. 1</w:t>
      </w:r>
    </w:p>
    <w:p>
      <w:pPr>
        <w:pStyle w:val="Normal"/>
        <w:jc w:val="center"/>
        <w:rPr>
          <w:sz w:val="24"/>
        </w:rPr>
      </w:pPr>
      <w:r>
        <w:rPr>
          <w:sz w:val="24"/>
        </w:rPr>
      </w:r>
    </w:p>
    <w:p>
      <w:pPr>
        <w:pStyle w:val="Normal"/>
        <w:jc w:val="center"/>
        <w:rPr>
          <w:sz w:val="24"/>
        </w:rPr>
      </w:pPr>
      <w:r>
        <w:rPr>
          <w:sz w:val="24"/>
        </w:rPr>
        <w:t>[list tariff sheets]</w:t>
      </w:r>
    </w:p>
    <w:p>
      <w:pPr>
        <w:pStyle w:val="Normal"/>
        <w:jc w:val="center"/>
        <w:rPr>
          <w:sz w:val="24"/>
        </w:rPr>
      </w:pPr>
      <w:r>
        <w:rPr>
          <w:sz w:val="24"/>
        </w:rPr>
      </w:r>
    </w:p>
    <w:p>
      <w:pPr>
        <w:pStyle w:val="Normal"/>
        <w:spacing w:lineRule="auto" w:line="360"/>
        <w:rPr/>
      </w:pPr>
      <w:r>
        <w:rPr>
          <w:sz w:val="24"/>
        </w:rPr>
        <w:tab/>
        <w:t>The tariff revisions proposed herein provides that Transwestern may contract for natural gas transportation services on Public Service Company of New Mexico</w:t>
      </w:r>
      <w:r>
        <w:rPr>
          <w:rStyle w:val="FootnoteCharacters"/>
          <w:rStyle w:val="FootnoteReference"/>
          <w:sz w:val="20"/>
          <w:vertAlign w:val="superscript"/>
        </w:rPr>
        <w:footnoteReference w:id="2"/>
      </w:r>
      <w:r>
        <w:rPr>
          <w:sz w:val="24"/>
        </w:rPr>
        <w:t xml:space="preserve"> ("PNM") for purposes of providing transportation service under Transwestern's tariff. As described more fully herein, Transwestern’s proposal to acquire transportation service on PNM in order to expand and enhance its own transportation service fully complies with the Commission’s policy (as set forth in </w:t>
      </w:r>
      <w:r>
        <w:rPr>
          <w:sz w:val="24"/>
          <w:u w:val="single"/>
        </w:rPr>
        <w:t>Texas Eastern Transmission Corp</w:t>
      </w:r>
      <w:r>
        <w:rPr>
          <w:sz w:val="24"/>
        </w:rPr>
        <w:t>.</w:t>
      </w:r>
      <w:r>
        <w:rPr>
          <w:rStyle w:val="FootnoteCharacters"/>
          <w:rStyle w:val="FootnoteReference"/>
          <w:rFonts w:cs="Times New Roman"/>
          <w:sz w:val="20"/>
          <w:vertAlign w:val="superscript"/>
        </w:rPr>
        <w:footnoteReference w:id="3"/>
      </w:r>
      <w:r>
        <w:rPr>
          <w:sz w:val="24"/>
        </w:rPr>
        <w:t>) with respect to interstate pipelines' contracting for offsystem capacity. </w:t>
      </w:r>
    </w:p>
    <w:p>
      <w:pPr>
        <w:pStyle w:val="Normal"/>
        <w:spacing w:lineRule="auto" w:line="360"/>
        <w:rPr/>
      </w:pPr>
      <w:r>
        <w:rPr>
          <w:sz w:val="24"/>
        </w:rPr>
        <w:tab/>
      </w:r>
      <w:r>
        <w:rPr>
          <w:color w:val="000000"/>
          <w:sz w:val="24"/>
          <w:lang w:eastAsia="en-US"/>
        </w:rPr>
        <w:t>Transwestern proposes to enter into firm service agreements under PNM's Rate No. 70 from time to time to transport gas on PNM from the Transwestern/PNM interconnect at Blanco, New Mexico</w:t>
      </w:r>
      <w:r>
        <w:rPr>
          <w:rStyle w:val="FootnoteCharacters"/>
          <w:rStyle w:val="FootnoteReference"/>
          <w:color w:val="000000"/>
          <w:sz w:val="20"/>
          <w:vertAlign w:val="superscript"/>
          <w:lang w:eastAsia="en-US"/>
        </w:rPr>
        <w:footnoteReference w:id="4"/>
      </w:r>
      <w:r>
        <w:rPr>
          <w:color w:val="000000"/>
          <w:sz w:val="24"/>
          <w:lang w:eastAsia="en-US"/>
        </w:rPr>
        <w:t xml:space="preserve"> to Rio Puerco, New Mexico, where PNM's system interconnects with Transwestern's mainline. The relevant portions of Transwestern's and PNM's systems are shown on Exhibit A. Capacity that becomes available as a result of the service agreements with PNM will be posted according to Transwestern's tariff, and used to provide transportation service to Transwestern's shippers from Blanco to points on Transwestern's mainline. </w:t>
      </w:r>
    </w:p>
    <w:p>
      <w:pPr>
        <w:pStyle w:val="BodyTextIndent"/>
        <w:spacing w:lineRule="auto" w:line="360"/>
        <w:rPr/>
      </w:pPr>
      <w:r>
        <w:rPr>
          <w:sz w:val="24"/>
        </w:rPr>
        <w:t>In recognition that pipelines and shippers increasingly require flexibility to meet changing market demands, and that the acquisition of capacity on other pipelines can enhance a pipeline's ability to provide benefits to its shippers, the Commission has allowed interstate pipelines to contract for capacity on other pipelines if certain policy concerns are addressed.</w:t>
      </w:r>
      <w:r>
        <w:rPr>
          <w:rStyle w:val="FootnoteCharacters"/>
          <w:rStyle w:val="FootnoteReference"/>
          <w:rFonts w:cs="Times New Roman"/>
          <w:sz w:val="20"/>
          <w:vertAlign w:val="superscript"/>
        </w:rPr>
        <w:footnoteReference w:id="5"/>
      </w:r>
      <w:r>
        <w:rPr>
          <w:sz w:val="24"/>
        </w:rPr>
        <w:t xml:space="preserve">  Transwestern's proposal to contract for transportation services on PNM meets all of the criteria outlined in </w:t>
      </w:r>
      <w:r>
        <w:rPr>
          <w:sz w:val="24"/>
          <w:u w:val="single"/>
        </w:rPr>
        <w:t>Texas Eastern</w:t>
      </w:r>
      <w:r>
        <w:rPr>
          <w:sz w:val="24"/>
        </w:rPr>
        <w:t xml:space="preserve">.  The instant proposal will not limit customer choices with respect to supply or market and will not result in any tying of the acquired capacity to any Transwestern or affiliate services. Shippers using transportation service on Transwestern will contract only with Transwestern, meaning that Transwestern shippers will not have to hold separate contracts on PNM and Transwestern or deal with the administrative burdens relating to nominations and balancing on two separate pipelines.  Shippers will nevertheless remain free to negotiate with PNM for service if they choose.  No affiliate of Transwestern will be involved in the acquisition of the subject capacity and the proposal will not result in any undue preference or advantage to any affiliate of Transwestern.  Transwestern will acquire rights as a customer of PNM and will be treated no differently than any other customer utilizing PNM service.  Transwestern will utilize its rights on PNM to provide transportation service on a not unduly discriminatory basis under its transportation rate schedules. </w:t>
      </w:r>
    </w:p>
    <w:p>
      <w:pPr>
        <w:pStyle w:val="Normal"/>
        <w:spacing w:lineRule="auto" w:line="360"/>
        <w:rPr/>
      </w:pPr>
      <w:r>
        <w:rPr>
          <w:sz w:val="24"/>
        </w:rPr>
        <w:tab/>
        <w:t xml:space="preserve">Utilizing capacity on PNM would expand Transwestern’s ability to offer transportation service to its customers without the expense and delay of building additional pipeline facilities. </w:t>
      </w:r>
      <w:r>
        <w:rPr>
          <w:color w:val="000000"/>
          <w:sz w:val="24"/>
          <w:lang w:eastAsia="en-US"/>
        </w:rPr>
        <w:t>Demand for firm capacity currently exceeds the available capacity on the San Juan lateral portion of Transwestern's system.  Transwestern was unable to expand its San Juan lateral through the San Juan Phase II Expansion Project</w:t>
      </w:r>
      <w:r>
        <w:rPr>
          <w:rStyle w:val="FootnoteCharacters"/>
          <w:rStyle w:val="FootnoteReference"/>
          <w:color w:val="000000"/>
          <w:sz w:val="20"/>
          <w:vertAlign w:val="superscript"/>
          <w:lang w:eastAsia="en-US"/>
        </w:rPr>
        <w:footnoteReference w:id="6"/>
      </w:r>
      <w:r>
        <w:rPr>
          <w:color w:val="000000"/>
          <w:sz w:val="24"/>
          <w:lang w:eastAsia="en-US"/>
        </w:rPr>
        <w:t xml:space="preserve"> because of prohibitively high costs of obtaining an easement on Navajo land. </w:t>
      </w:r>
      <w:r>
        <w:rPr>
          <w:rFonts w:cs="Helv;Arial" w:ascii="Helv;Arial" w:hAnsi="Helv;Arial"/>
          <w:color w:val="000000"/>
          <w:lang w:eastAsia="en-US"/>
        </w:rPr>
        <w:t xml:space="preserve"> </w:t>
      </w:r>
      <w:r>
        <w:rPr>
          <w:sz w:val="24"/>
        </w:rPr>
        <w:t xml:space="preserve">By avoiding duplicative and unnecessary construction of facilities, Transwestern's proposal allows efficient use of existing assets to expand service to meet the needs of Transwestern’s customers. This proposal would create greater flexibility to respond to market demands for additional capacity with the least cost and the least environmental impact. </w:t>
      </w:r>
    </w:p>
    <w:p>
      <w:pPr>
        <w:pStyle w:val="Normal"/>
        <w:spacing w:lineRule="auto" w:line="360"/>
        <w:rPr>
          <w:sz w:val="24"/>
        </w:rPr>
      </w:pPr>
      <w:r>
        <w:rPr>
          <w:sz w:val="24"/>
        </w:rPr>
        <w:tab/>
        <w:t>There will be no rate impact to Transwestern's customers from the proposed utilization of PNM transportation services.  The tariff rate for transportation service on Transwestern will remain the same, and the terms and conditions of transportation service will also be unchanged.  Transwestern will be at risk for recovery of the costs associated with such services.  The net cost incurred for acquisition of such capacity will be separately recorded in Account No. [858?].  Thus, Transwestern’s proposed method of recovering the costs of the subject capacity is just and reasonable and does not result in any cost-shifting to customers not receiving service through utilization of the acquired capacity and does not result in any undue preference or advantage to any customer.</w:t>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have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sz w:val="24"/>
        </w:rPr>
      </w:pPr>
      <w:r>
        <w:rPr>
          <w:sz w:val="24"/>
        </w:rPr>
        <w:tab/>
        <w:t>In accordance with Section 154.201 of the Commission’s Regulations, a marked version of the proposed tariff sheet that highlights the additions is enclosed.</w:t>
      </w:r>
    </w:p>
    <w:p>
      <w:pPr>
        <w:pStyle w:val="Normal"/>
        <w:spacing w:lineRule="auto" w:line="360"/>
        <w:rPr>
          <w:sz w:val="24"/>
        </w:rPr>
      </w:pPr>
      <w:r>
        <w:rPr>
          <w:sz w:val="24"/>
          <w:u w:val="single"/>
        </w:rPr>
        <w:t>Waiver</w:t>
      </w:r>
    </w:p>
    <w:p>
      <w:pPr>
        <w:pStyle w:val="Normal"/>
        <w:spacing w:lineRule="auto" w:line="360"/>
        <w:rPr>
          <w:sz w:val="24"/>
        </w:rPr>
      </w:pPr>
      <w:r>
        <w:rPr>
          <w:sz w:val="24"/>
        </w:rPr>
        <w:tab/>
        <w:t>Transwestern respectfully requests that the Commission grant any and all waivers of its Regulations that it deems necessary to allow this filing to become effective ______________, 2000.</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rPr>
          <w:sz w:val="24"/>
        </w:rPr>
      </w:pPr>
      <w:r>
        <w:rPr>
          <w:sz w:val="24"/>
        </w:rPr>
        <w:tab/>
        <w:t>In accordance with Sections 154.7(a)(9) and 154.206(c) of the Commission’s Regulations, Transwestern hereby moves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r>
        <w:br w:type="page"/>
      </w:r>
    </w:p>
    <w:p>
      <w:pPr>
        <w:pStyle w:val="Normal"/>
        <w:spacing w:lineRule="auto" w:line="360"/>
        <w:rPr>
          <w:sz w:val="24"/>
          <w:u w:val="single"/>
        </w:rPr>
      </w:pPr>
      <w:r>
        <w:rPr>
          <w:sz w:val="24"/>
          <w:u w:val="single"/>
        </w:rPr>
        <w:t>Communication</w:t>
      </w:r>
    </w:p>
    <w:p>
      <w:pPr>
        <w:pStyle w:val="BodyText2"/>
        <w:rPr/>
      </w:pPr>
      <w:r>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20005-4903</w:t>
      </w:r>
    </w:p>
    <w:p>
      <w:pPr>
        <w:pStyle w:val="Normal"/>
        <w:ind w:start="2160" w:end="0"/>
        <w:rPr>
          <w:sz w:val="24"/>
        </w:rPr>
      </w:pPr>
      <w:r>
        <w:rPr>
          <w:sz w:val="24"/>
        </w:rPr>
        <w:t>(202) 289-7200</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rStyle w:val="FootnoteCharacters"/>
          <w:rFonts w:ascii="Times New Roman" w:hAnsi="Times New Roman" w:cs="Times New Roman"/>
        </w:rPr>
      </w:pPr>
      <w:r>
        <w:rPr>
          <w:sz w:val="24"/>
        </w:rPr>
        <w:t>Vice President, Rates and Certificates</w:t>
      </w:r>
    </w:p>
    <w:p>
      <w:pPr>
        <w:pStyle w:val="Normal"/>
        <w:rPr>
          <w:rStyle w:val="FootnoteCharacters"/>
          <w:rFonts w:ascii="Times New Roman" w:hAnsi="Times New Roman" w:cs="Times New Roman"/>
          <w:sz w:val="24"/>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Helv">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PNM, a Hinshaw pipeline, operates a pipeline within the State of New Mexico and is regulated by the New Mexico Public Service Commission.</w:t>
      </w:r>
    </w:p>
  </w:footnote>
  <w:footnote w:id="3">
    <w:p>
      <w:pPr>
        <w:pStyle w:val="FootnoteText"/>
        <w:rPr/>
      </w:pPr>
      <w:r>
        <w:rPr>
          <w:rStyle w:val="FootnoteCharacters"/>
        </w:rPr>
        <w:footnoteRef/>
      </w:r>
      <w:r>
        <w:rPr>
          <w:rFonts w:cs="Times New Roman" w:ascii="Times New Roman" w:hAnsi="Times New Roman"/>
          <w:sz w:val="20"/>
          <w:vertAlign w:val="superscript"/>
        </w:rPr>
        <w:t xml:space="preserve"> </w:t>
      </w:r>
      <w:r>
        <w:rPr>
          <w:rFonts w:cs="Times New Roman" w:ascii="Times New Roman" w:hAnsi="Times New Roman"/>
          <w:sz w:val="20"/>
          <w:u w:val="single"/>
        </w:rPr>
        <w:t>Texas Eastern Transmission Corp</w:t>
      </w:r>
      <w:r>
        <w:rPr>
          <w:rFonts w:cs="Times New Roman" w:ascii="Times New Roman" w:hAnsi="Times New Roman"/>
          <w:sz w:val="20"/>
        </w:rPr>
        <w:t xml:space="preserve">., 74 FERC ¶61,074 (1996), </w:t>
      </w:r>
      <w:r>
        <w:rPr>
          <w:rFonts w:cs="Times New Roman" w:ascii="Times New Roman" w:hAnsi="Times New Roman"/>
          <w:sz w:val="20"/>
          <w:u w:val="single"/>
        </w:rPr>
        <w:t>order</w:t>
      </w:r>
      <w:r>
        <w:rPr>
          <w:rFonts w:cs="Times New Roman" w:ascii="Times New Roman" w:hAnsi="Times New Roman"/>
          <w:sz w:val="20"/>
        </w:rPr>
        <w:t xml:space="preserve"> </w:t>
      </w:r>
      <w:r>
        <w:rPr>
          <w:rFonts w:cs="Times New Roman" w:ascii="Times New Roman" w:hAnsi="Times New Roman"/>
          <w:sz w:val="20"/>
          <w:u w:val="single"/>
        </w:rPr>
        <w:t>on</w:t>
      </w:r>
      <w:r>
        <w:rPr>
          <w:rFonts w:cs="Times New Roman" w:ascii="Times New Roman" w:hAnsi="Times New Roman"/>
          <w:sz w:val="20"/>
        </w:rPr>
        <w:t xml:space="preserve"> </w:t>
      </w:r>
      <w:r>
        <w:rPr>
          <w:rFonts w:cs="Times New Roman" w:ascii="Times New Roman" w:hAnsi="Times New Roman"/>
          <w:sz w:val="20"/>
          <w:u w:val="single"/>
        </w:rPr>
        <w:t>rehearing</w:t>
      </w:r>
      <w:r>
        <w:rPr>
          <w:rFonts w:cs="Times New Roman" w:ascii="Times New Roman" w:hAnsi="Times New Roman"/>
          <w:sz w:val="20"/>
        </w:rPr>
        <w:t xml:space="preserve">, 78 FERC ¶61,277 (1997), remanded, </w:t>
      </w:r>
      <w:r>
        <w:rPr>
          <w:rFonts w:cs="Times New Roman" w:ascii="Times New Roman" w:hAnsi="Times New Roman"/>
          <w:sz w:val="20"/>
          <w:u w:val="single"/>
        </w:rPr>
        <w:t>Colorado Interstate Gas Company v. F.E.R.C.</w:t>
      </w:r>
      <w:r>
        <w:rPr>
          <w:rFonts w:cs="Times New Roman" w:ascii="Times New Roman" w:hAnsi="Times New Roman"/>
          <w:sz w:val="20"/>
        </w:rPr>
        <w:t>, 146 F.3d 889 (D.C. Cir. 1998).</w:t>
      </w:r>
    </w:p>
  </w:footnote>
  <w:footnote w:id="4">
    <w:p>
      <w:pPr>
        <w:pStyle w:val="FootnoteText"/>
        <w:rPr/>
      </w:pPr>
      <w:r>
        <w:rPr>
          <w:rStyle w:val="FootnoteCharacters"/>
        </w:rPr>
        <w:footnoteRef/>
      </w:r>
      <w:r>
        <w:rPr>
          <w:sz w:val="20"/>
        </w:rPr>
        <w:t xml:space="preserve"> </w:t>
      </w:r>
      <w:r>
        <w:rPr>
          <w:rFonts w:cs="Times New Roman" w:ascii="Times New Roman" w:hAnsi="Times New Roman"/>
          <w:sz w:val="20"/>
        </w:rPr>
        <w:t>Transwestern and PNM co-own the Blanco Hub.</w:t>
      </w:r>
    </w:p>
  </w:footnote>
  <w:footnote w:id="5">
    <w:p>
      <w:pPr>
        <w:pStyle w:val="FootnoteText"/>
        <w:rPr/>
      </w:pPr>
      <w:r>
        <w:rPr>
          <w:rStyle w:val="FootnoteCharacters"/>
        </w:rPr>
        <w:footnoteRef/>
      </w:r>
      <w:r>
        <w:rPr>
          <w:sz w:val="20"/>
        </w:rPr>
        <w:t xml:space="preserve"> </w:t>
      </w:r>
      <w:r>
        <w:rPr>
          <w:sz w:val="20"/>
          <w:u w:val="single"/>
        </w:rPr>
        <w:t>Texas Eastern Transmission Corp.</w:t>
      </w:r>
      <w:r>
        <w:rPr>
          <w:sz w:val="20"/>
        </w:rPr>
        <w:t>, 74 FERC ¶ 61.074 at 61,220-1.</w:t>
      </w:r>
    </w:p>
  </w:footnote>
  <w:footnote w:id="6">
    <w:p>
      <w:pPr>
        <w:pStyle w:val="FootnoteText"/>
        <w:rPr/>
      </w:pPr>
      <w:r>
        <w:rPr>
          <w:rStyle w:val="FootnoteCharacters"/>
        </w:rPr>
        <w:footnoteRef/>
      </w:r>
      <w:r>
        <w:rPr>
          <w:sz w:val="20"/>
          <w:vertAlign w:val="superscript"/>
        </w:rPr>
        <w:t xml:space="preserve"> </w:t>
      </w:r>
      <w:r>
        <w:rPr>
          <w:sz w:val="20"/>
        </w:rPr>
        <w:t>The Commission issued a certificate for the San Juan Phase II Expansion in Docket No. ________.</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u w:val="single"/>
    </w:rPr>
  </w:style>
  <w:style w:type="character" w:styleId="DefaultParagraphFont">
    <w:name w:val="Default Paragraph Font"/>
    <w:qFormat/>
    <w:rPr/>
  </w:style>
  <w:style w:type="character" w:styleId="FootnoteCharacters">
    <w:name w:val="Footnote Characters"/>
    <w:basedOn w:val="DefaultParagraphFont"/>
    <w:qFormat/>
    <w:rPr>
      <w:rFonts w:ascii="CG Times" w:hAnsi="CG Times" w:cs="CG Times"/>
      <w:position w:val="0"/>
      <w:sz w:val="24"/>
      <w:sz w:val="24"/>
      <w:u w:val="singl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tLeast" w:line="240"/>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hanging="720" w:start="720" w:end="0"/>
      <w:jc w:val="both"/>
    </w:pPr>
    <w:rPr>
      <w:rFonts w:ascii="CG Times" w:hAnsi="CG Times" w:cs="CG Times"/>
      <w:sz w:val="24"/>
    </w:rPr>
  </w:style>
  <w:style w:type="paragraph" w:styleId="BodyTextIndent">
    <w:name w:val="Body Text Indent"/>
    <w:basedOn w:val="Normal"/>
    <w:pPr>
      <w:spacing w:lineRule="auto" w:line="480"/>
      <w:ind w:firstLine="720" w:start="0" w:end="0"/>
    </w:pPr>
    <w:rPr/>
  </w:style>
  <w:style w:type="paragraph" w:styleId="BodyText2">
    <w:name w:val="Body Text 2"/>
    <w:basedOn w:val="Normal"/>
    <w:qFormat/>
    <w:pPr>
      <w:spacing w:lineRule="auto" w:line="36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2000-03-08T19:01:00Z</dcterms:created>
  <dc:creator>Susan Scott</dc:creator>
  <dc:description/>
  <dc:language>en-CA</dc:language>
  <cp:lastModifiedBy>Susan Scott</cp:lastModifiedBy>
  <cp:lastPrinted>2000-03-09T16:16:00Z</cp:lastPrinted>
  <dcterms:modified xsi:type="dcterms:W3CDTF">2000-03-10T18:56:00Z</dcterms:modified>
  <cp:revision>6</cp:revision>
  <dc:subject/>
  <dc:title>Mr</dc:title>
</cp:coreProperties>
</file>