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 5/1/00</w:t>
      </w:r>
    </w:p>
    <w:p>
      <w:pPr>
        <w:pStyle w:val="Normal"/>
        <w:jc w:val="center"/>
        <w:rPr>
          <w:b/>
          <w:sz w:val="24"/>
        </w:rPr>
      </w:pPr>
      <w:r>
        <w:rPr>
          <w:b/>
          <w:sz w:val="24"/>
        </w:rPr>
      </w:r>
    </w:p>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RP00-249-000</w:t>
      </w:r>
    </w:p>
    <w:p>
      <w:pPr>
        <w:pStyle w:val="Normal"/>
        <w:jc w:val="center"/>
        <w:rPr>
          <w:b/>
          <w:sz w:val="24"/>
        </w:rPr>
      </w:pPr>
      <w:r>
        <w:rPr>
          <w:b/>
          <w:sz w:val="24"/>
        </w:rPr>
      </w:r>
    </w:p>
    <w:p>
      <w:pPr>
        <w:pStyle w:val="Normal"/>
        <w:jc w:val="center"/>
        <w:rPr>
          <w:b/>
          <w:sz w:val="24"/>
        </w:rPr>
      </w:pPr>
      <w:r>
        <w:rPr>
          <w:b/>
          <w:sz w:val="24"/>
        </w:rPr>
        <w:t>TRANSWESTERN PIPELINE COMPANY'S ANSWER</w:t>
      </w:r>
    </w:p>
    <w:p>
      <w:pPr>
        <w:pStyle w:val="Normal"/>
        <w:jc w:val="center"/>
        <w:rPr>
          <w:b/>
          <w:sz w:val="24"/>
        </w:rPr>
      </w:pPr>
      <w:r>
        <w:rPr>
          <w:b/>
          <w:sz w:val="24"/>
        </w:rPr>
        <w:t>TO THE PROTEST OF DYNEGY MARKETING AND TRADE</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Dynegy Marketing and Trade's (Dynegy) April 27, 2000 protest.  This answer responds to erroneous statements in the protest and clarifies the issues. </w:t>
      </w:r>
    </w:p>
    <w:p>
      <w:pPr>
        <w:pStyle w:val="Heading1"/>
        <w:ind w:hanging="0" w:start="0"/>
        <w:rPr/>
      </w:pPr>
      <w:r>
        <w:rPr/>
        <w:t>A.</w:t>
      </w:r>
    </w:p>
    <w:p>
      <w:pPr>
        <w:pStyle w:val="Heading1"/>
        <w:ind w:hanging="0" w:start="0"/>
        <w:rPr>
          <w:b w:val="false"/>
        </w:rPr>
      </w:pPr>
      <w:r>
        <w:rPr/>
        <w:t>BACKGROUND</w:t>
      </w:r>
    </w:p>
    <w:p>
      <w:pPr>
        <w:pStyle w:val="BodyText"/>
        <w:jc w:val="both"/>
        <w:rPr/>
      </w:pPr>
      <w:r>
        <w:rPr/>
        <w:tab/>
        <w:t>On April 14, 2000, Transwestern filed tariff sheets to allow Transwestern to contract for firm transportation services on Public Service Company of New Mexico (PNM) for the purpose of providing transportation service pursuant to Transwestern's tariff.</w:t>
      </w:r>
      <w:r>
        <w:rPr>
          <w:rStyle w:val="FootnoteCharacters"/>
          <w:rStyle w:val="FootnoteReference"/>
        </w:rPr>
        <w:footnoteReference w:id="3"/>
      </w:r>
      <w:r>
        <w:rPr/>
        <w:t xml:space="preserve">  Specifically, Transwestern proposes to enter into firm transportation service agreements under PNM's tariff from time to time to transport gas on PNM from the Transwestern/PNM interconnect at Blanco, New Mexico to the Transwestern/PNM interconnect at Rio Puerco, New Mexico.  </w:t>
      </w:r>
      <w:r>
        <w:br w:type="page"/>
      </w:r>
    </w:p>
    <w:p>
      <w:pPr>
        <w:pStyle w:val="Normal"/>
        <w:spacing w:lineRule="auto" w:line="360"/>
        <w:jc w:val="center"/>
        <w:rPr>
          <w:b/>
          <w:sz w:val="24"/>
        </w:rPr>
      </w:pPr>
      <w:r>
        <w:rPr>
          <w:b/>
          <w:sz w:val="24"/>
        </w:rPr>
        <w:t>B.</w:t>
      </w:r>
    </w:p>
    <w:p>
      <w:pPr>
        <w:pStyle w:val="Heading1"/>
        <w:ind w:hanging="0" w:start="0"/>
        <w:rPr/>
      </w:pPr>
      <w:r>
        <w:rPr/>
        <w:t>ANSWER</w:t>
      </w:r>
    </w:p>
    <w:p>
      <w:pPr>
        <w:pStyle w:val="Normal"/>
        <w:spacing w:lineRule="auto" w:line="360"/>
        <w:jc w:val="both"/>
        <w:rPr/>
      </w:pPr>
      <w:r>
        <w:rPr>
          <w:sz w:val="24"/>
        </w:rPr>
        <w:tab/>
        <w:t>Contrary to Dynegy's assertions, Transwestern's proposal is distinguishable from the proposal filed by Northen Natural Gas Company (Northern) in Docket No. RP97-399-000.  Northern's proposal involved a tariff provision that would have given Northern blanket authority to acquire and hold contractual rights on other pipelines for interruptible storage and transportation capacity for the benefit of its shippers.</w:t>
      </w:r>
      <w:r>
        <w:rPr>
          <w:rStyle w:val="FootnoteCharacters"/>
          <w:rStyle w:val="FootnoteReference"/>
          <w:sz w:val="24"/>
        </w:rPr>
        <w:footnoteReference w:id="4"/>
      </w:r>
      <w:r>
        <w:rPr>
          <w:sz w:val="24"/>
        </w:rPr>
        <w:t xml:space="preserve"> The Commission rejected Northern's proposal because it did not identify what capacity would be acquired, did not demonstrate a need for the service, operated to allow Northern to act as a marketer of another pipeline's capacity, and limited customer choice by tying the acquired capacity to Northern's own services.</w:t>
      </w:r>
      <w:r>
        <w:rPr>
          <w:rStyle w:val="FootnoteCharacters"/>
          <w:rStyle w:val="FootnoteReference"/>
          <w:sz w:val="24"/>
        </w:rPr>
        <w:footnoteReference w:id="5"/>
      </w:r>
      <w:r>
        <w:rPr>
          <w:sz w:val="24"/>
        </w:rPr>
        <w:t xml:space="preserve">  </w:t>
      </w:r>
    </w:p>
    <w:p>
      <w:pPr>
        <w:pStyle w:val="Normal"/>
        <w:spacing w:lineRule="auto" w:line="360"/>
        <w:jc w:val="both"/>
        <w:rPr/>
      </w:pPr>
      <w:r>
        <w:rPr>
          <w:sz w:val="24"/>
        </w:rPr>
        <w:tab/>
        <w:t>By contrast, Transwestern's proposal specifically states that firm capacity would be acquired on PNM's system from Blanco to Rio Puerco.  Moreover, Transwestern's proposal is designed to help alleviate a capacity constraint on a specific portion (the San Juan lateral) of Transwestern's system.  The proposal is therefore consistent with the Commission's policy of allowing pipelines to "expand their markets where options other than system expansion exist."</w:t>
      </w:r>
      <w:r>
        <w:rPr>
          <w:rStyle w:val="FootnoteCharacters"/>
          <w:rStyle w:val="FootnoteReference"/>
          <w:sz w:val="24"/>
        </w:rPr>
        <w:footnoteReference w:id="6"/>
      </w:r>
      <w:r>
        <w:rPr>
          <w:sz w:val="24"/>
        </w:rPr>
        <w:t xml:space="preserve">  Transwestern does not propose to act as a broker for capacity on PNM's system, and in obtaining PNM capacity would not limit customer choice, since nothing in the proposal precludes shippers from obtaining capacity directly from PNM.  Transwestern's proposal would not only make make more capacity available for Transwestern shippers from Blanco, but would enable shippers using the Blanco receipt point on Transwestern to ship gas to points on Transwestern's system without the administrative burden of having transportation agreements with two different pipelines.  The proposal in no way involves tying transportation on PNM to other Transwestern services.  In sum, the tariff provision proposed by Transwestern bears little resemblance to the proposal rejected by the Commission in </w:t>
      </w:r>
      <w:r>
        <w:rPr>
          <w:sz w:val="24"/>
          <w:u w:val="single"/>
        </w:rPr>
        <w:t>Northern</w:t>
      </w:r>
      <w:r>
        <w:rPr>
          <w:sz w:val="24"/>
        </w:rPr>
        <w:t xml:space="preserve">, and therefore Dynegy's protest has no valid basis. </w:t>
      </w:r>
      <w:r>
        <w:br w:type="page"/>
      </w:r>
    </w:p>
    <w:p>
      <w:pPr>
        <w:pStyle w:val="Normal"/>
        <w:spacing w:lineRule="auto" w:line="360"/>
        <w:jc w:val="center"/>
        <w:rPr>
          <w:b/>
          <w:sz w:val="24"/>
        </w:rPr>
      </w:pPr>
      <w:r>
        <w:rPr>
          <w:b/>
          <w:sz w:val="24"/>
        </w:rPr>
        <w:t>C.</w:t>
      </w:r>
    </w:p>
    <w:p>
      <w:pPr>
        <w:pStyle w:val="Normal"/>
        <w:spacing w:lineRule="auto" w:line="360"/>
        <w:jc w:val="center"/>
        <w:rPr>
          <w:b/>
          <w:sz w:val="24"/>
        </w:rPr>
      </w:pPr>
      <w:r>
        <w:rPr>
          <w:b/>
          <w:sz w:val="24"/>
        </w:rPr>
        <w:t>CONCLUSION</w:t>
      </w:r>
    </w:p>
    <w:p>
      <w:pPr>
        <w:pStyle w:val="Normal"/>
        <w:spacing w:lineRule="auto" w:line="360"/>
        <w:jc w:val="both"/>
        <w:rPr>
          <w:sz w:val="24"/>
        </w:rPr>
      </w:pPr>
      <w:r>
        <w:rPr>
          <w:sz w:val="24"/>
        </w:rPr>
        <w:tab/>
        <w:t>For the reasons stated above, Transwestern urges the Commission to reject Dynegy's protest and approve the tariff sheets filed in this proceeding.</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t>susan.scott@enron.com</w:t>
      </w:r>
    </w:p>
    <w:p>
      <w:pPr>
        <w:pStyle w:val="Normal"/>
        <w:spacing w:lineRule="auto" w:line="360"/>
        <w:jc w:val="both"/>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w:t>
      </w:r>
    </w:p>
  </w:footnote>
  <w:footnote w:id="3">
    <w:p>
      <w:pPr>
        <w:pStyle w:val="FootnoteText"/>
        <w:rPr/>
      </w:pPr>
      <w:r>
        <w:rPr>
          <w:rStyle w:val="FootnoteCharacters"/>
        </w:rPr>
        <w:footnoteRef/>
      </w:r>
      <w:r>
        <w:rPr/>
        <w:t xml:space="preserve"> </w:t>
      </w:r>
      <w:r>
        <w:rPr/>
        <w:t xml:space="preserve">On </w:t>
      </w:r>
      <w:r>
        <w:rPr>
          <w:b/>
        </w:rPr>
        <w:t>[date]</w:t>
      </w:r>
      <w:r>
        <w:rPr/>
        <w:t xml:space="preserve">, Transwestern filed a revised tariff sheet to correct an error with regard to the account in which costs of acquiring such capacity will be recorded. </w:t>
      </w:r>
    </w:p>
  </w:footnote>
  <w:footnote w:id="4">
    <w:p>
      <w:pPr>
        <w:pStyle w:val="FootnoteText"/>
        <w:rPr/>
      </w:pPr>
      <w:r>
        <w:rPr>
          <w:rStyle w:val="FootnoteCharacters"/>
        </w:rPr>
        <w:footnoteRef/>
      </w:r>
      <w:r>
        <w:rPr/>
        <w:t xml:space="preserve"> </w:t>
      </w:r>
      <w:r>
        <w:rPr>
          <w:u w:val="single"/>
        </w:rPr>
        <w:t>Northern Natural Gas Company</w:t>
      </w:r>
      <w:r>
        <w:rPr/>
        <w:t>, 80 FERC ¶ 61,018 (1997).</w:t>
      </w:r>
    </w:p>
  </w:footnote>
  <w:footnote w:id="5">
    <w:p>
      <w:pPr>
        <w:pStyle w:val="FootnoteText"/>
        <w:rPr/>
      </w:pPr>
      <w:r>
        <w:rPr>
          <w:rStyle w:val="FootnoteCharacters"/>
        </w:rPr>
        <w:footnoteRef/>
      </w:r>
      <w:r>
        <w:rPr/>
        <w:t xml:space="preserve"> </w:t>
      </w:r>
      <w:r>
        <w:rPr>
          <w:u w:val="single"/>
        </w:rPr>
        <w:t>Id.</w:t>
      </w:r>
      <w:r>
        <w:rPr/>
        <w:t xml:space="preserve"> at _________.</w:t>
      </w:r>
    </w:p>
  </w:footnote>
  <w:footnote w:id="6">
    <w:p>
      <w:pPr>
        <w:pStyle w:val="FootnoteText"/>
        <w:rPr/>
      </w:pPr>
      <w:r>
        <w:rPr>
          <w:rStyle w:val="FootnoteCharacters"/>
        </w:rPr>
        <w:footnoteRef/>
      </w:r>
      <w:r>
        <w:rPr/>
        <w:t xml:space="preserve"> </w:t>
      </w:r>
      <w:r>
        <w:rPr>
          <w:u w:val="single"/>
        </w:rPr>
        <w:t>Id.</w:t>
      </w:r>
      <w:r>
        <w:rPr/>
        <w:t xml:space="preserve"> at _________.</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2000-05-01T19:29:00Z</dcterms:created>
  <dc:creator>Susan Scott</dc:creator>
  <dc:description/>
  <dc:language>en-CA</dc:language>
  <cp:lastModifiedBy>Susan Scott</cp:lastModifiedBy>
  <dcterms:modified xsi:type="dcterms:W3CDTF">2000-05-01T20:47:00Z</dcterms:modified>
  <cp:revision>3</cp:revision>
  <dc:subject/>
  <dc:title>UNITED STATES OF AMERICA</dc:title>
</cp:coreProperties>
</file>