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t xml:space="preserve">January 26, 2001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Public Service of New Mexico</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Attention:  </w:t>
      </w:r>
    </w:p>
    <w:p>
      <w:pPr>
        <w:pStyle w:val="Normal"/>
        <w:rPr>
          <w:rFonts w:ascii="Arial" w:hAnsi="Arial" w:eastAsia="Arial" w:cs="Arial"/>
          <w:b/>
          <w:sz w:val="22"/>
        </w:rPr>
      </w:pPr>
      <w:r>
        <w:rPr>
          <w:rFonts w:eastAsia="Arial" w:cs="Arial" w:ascii="Arial" w:hAnsi="Arial"/>
          <w:b/>
          <w:sz w:val="22"/>
        </w:rPr>
        <w:t xml:space="preserve"> </w:t>
      </w:r>
    </w:p>
    <w:p>
      <w:pPr>
        <w:pStyle w:val="Normal"/>
        <w:numPr>
          <w:ilvl w:val="0"/>
          <w:numId w:val="0"/>
        </w:numPr>
        <w:ind w:hanging="0" w:start="0"/>
        <w:rPr>
          <w:rFonts w:ascii="Arial" w:hAnsi="Arial" w:cs="Arial"/>
          <w:b/>
          <w:sz w:val="22"/>
        </w:rPr>
      </w:pPr>
      <w:r>
        <w:rPr>
          <w:rFonts w:cs="Arial" w:ascii="Arial" w:hAnsi="Arial"/>
          <w:b/>
          <w:sz w:val="22"/>
        </w:rPr>
      </w:r>
    </w:p>
    <w:p>
      <w:pPr>
        <w:pStyle w:val="Normal"/>
        <w:rPr>
          <w:b/>
          <w:i/>
          <w:i/>
          <w:u w:val="single"/>
        </w:rPr>
      </w:pPr>
      <w:r>
        <w:rPr>
          <w:rFonts w:cs="Arial" w:ascii="Arial" w:hAnsi="Arial"/>
          <w:sz w:val="22"/>
        </w:rPr>
        <w:t xml:space="preserve">Re: </w:t>
      </w:r>
      <w:r>
        <w:rPr>
          <w:rFonts w:cs="Arial" w:ascii="Arial" w:hAnsi="Arial"/>
          <w:b/>
          <w:i/>
          <w:sz w:val="22"/>
          <w:u w:val="single"/>
        </w:rPr>
        <w:t xml:space="preserve">ENA Response to RFP </w:t>
      </w:r>
    </w:p>
    <w:p>
      <w:pPr>
        <w:pStyle w:val="Normal"/>
        <w:rPr>
          <w:b/>
          <w:i/>
          <w:i/>
          <w:u w:val="single"/>
        </w:rPr>
      </w:pPr>
      <w:r>
        <w:rPr>
          <w:b/>
          <w:i/>
          <w:u w:val="single"/>
        </w:rPr>
      </w:r>
    </w:p>
    <w:p>
      <w:pPr>
        <w:pStyle w:val="Header"/>
        <w:tabs>
          <w:tab w:val="clear" w:pos="4320"/>
          <w:tab w:val="clear" w:pos="8640"/>
        </w:tabs>
        <w:rPr/>
      </w:pPr>
      <w:r>
        <w:rPr/>
        <w:t>Dear _____;</w:t>
      </w:r>
    </w:p>
    <w:p>
      <w:pPr>
        <w:pStyle w:val="Normal"/>
        <w:rPr>
          <w:rFonts w:ascii="Univers (W1);Arial" w:hAnsi="Univers (W1);Arial" w:cs="Univers (W1);Arial"/>
          <w:sz w:val="21"/>
        </w:rPr>
      </w:pPr>
      <w:r>
        <w:rPr>
          <w:rFonts w:cs="Univers (W1);Arial" w:ascii="Univers (W1);Arial" w:hAnsi="Univers (W1);Arial"/>
          <w:sz w:val="21"/>
        </w:rPr>
      </w:r>
    </w:p>
    <w:p>
      <w:pPr>
        <w:pStyle w:val="BodyText2"/>
        <w:rPr/>
      </w:pPr>
      <w:r>
        <w:rPr/>
        <w:t xml:space="preserve">Further to your letter dated ____________, please find ENA’s response to your request for pricing on a  variety of option and swap related structures. </w:t>
      </w:r>
    </w:p>
    <w:p>
      <w:pPr>
        <w:pStyle w:val="BodyText2"/>
        <w:rPr/>
      </w:pPr>
      <w:r>
        <w:rPr/>
      </w:r>
    </w:p>
    <w:p>
      <w:pPr>
        <w:pStyle w:val="BodyText2"/>
        <w:rPr/>
      </w:pPr>
      <w:r>
        <w:rPr/>
        <w:t xml:space="preserve">ENA has reviewed the load profile and would like to suggest a combination structure that provides some fixed price certainty, caps structure and monthly to daily coverage. We have reduced the amount of monthly volume to priced off of monthly calls and offered a portion of this exposure as a fixed price swap.  </w:t>
      </w:r>
    </w:p>
    <w:p>
      <w:pPr>
        <w:pStyle w:val="BodyText2"/>
        <w:rPr/>
      </w:pPr>
      <w:r>
        <w:rPr/>
      </w:r>
    </w:p>
    <w:p>
      <w:pPr>
        <w:pStyle w:val="BodyText2"/>
        <w:rPr/>
      </w:pPr>
      <w:r>
        <w:rPr/>
        <w:t xml:space="preserve">Following ttached a two page price sheet for your review and welcome the opportunity to discuss the details of this proposal as soon as possible. </w:t>
      </w:r>
    </w:p>
    <w:p>
      <w:pPr>
        <w:pStyle w:val="BodyText2"/>
        <w:rPr>
          <w:rFonts w:eastAsia="Arial"/>
        </w:rPr>
      </w:pPr>
      <w:r>
        <w:rPr>
          <w:rFonts w:eastAsia="Arial"/>
        </w:rPr>
        <w:t xml:space="preserve"> </w:t>
      </w:r>
    </w:p>
    <w:p>
      <w:pPr>
        <w:pStyle w:val="BodyText2"/>
        <w:rPr/>
      </w:pPr>
      <w:r>
        <w:rPr/>
      </w:r>
    </w:p>
    <w:p>
      <w:pPr>
        <w:pStyle w:val="Normal"/>
        <w:rPr>
          <w:rFonts w:ascii="Arial" w:hAnsi="Arial" w:cs="Arial"/>
          <w:sz w:val="22"/>
        </w:rPr>
      </w:pPr>
      <w:r>
        <w:rPr>
          <w:rFonts w:cs="Arial" w:ascii="Arial" w:hAnsi="Arial"/>
          <w:sz w:val="22"/>
        </w:rPr>
      </w:r>
    </w:p>
    <w:tbl>
      <w:tblPr>
        <w:tblW w:w="10548" w:type="dxa"/>
        <w:jc w:val="start"/>
        <w:tblInd w:w="0" w:type="dxa"/>
        <w:tblLayout w:type="fixed"/>
        <w:tblCellMar>
          <w:top w:w="0" w:type="dxa"/>
          <w:start w:w="108" w:type="dxa"/>
          <w:bottom w:w="0" w:type="dxa"/>
          <w:end w:w="108" w:type="dxa"/>
        </w:tblCellMar>
      </w:tblPr>
      <w:tblGrid>
        <w:gridCol w:w="2808"/>
        <w:gridCol w:w="7740"/>
      </w:tblGrid>
      <w:tr>
        <w:trPr/>
        <w:tc>
          <w:tcPr>
            <w:tcW w:w="2808" w:type="dxa"/>
            <w:tcBorders/>
          </w:tcPr>
          <w:p>
            <w:pPr>
              <w:pStyle w:val="Normal"/>
              <w:snapToGrid w:val="false"/>
              <w:rPr>
                <w:rFonts w:ascii="Arial" w:hAnsi="Arial" w:cs="Arial"/>
                <w:b/>
                <w:sz w:val="22"/>
                <w:u w:val="single"/>
              </w:rPr>
            </w:pPr>
            <w:r>
              <w:rPr>
                <w:rFonts w:cs="Arial" w:ascii="Arial" w:hAnsi="Arial"/>
                <w:b/>
                <w:sz w:val="22"/>
                <w:u w:val="single"/>
              </w:rPr>
            </w:r>
          </w:p>
        </w:tc>
        <w:tc>
          <w:tcPr>
            <w:tcW w:w="7740" w:type="dxa"/>
            <w:tcBorders/>
          </w:tcPr>
          <w:p>
            <w:pPr>
              <w:pStyle w:val="Normal"/>
              <w:snapToGrid w:val="false"/>
              <w:ind w:end="720"/>
              <w:rPr>
                <w:rFonts w:ascii="Arial" w:hAnsi="Arial" w:cs="Arial"/>
                <w:b/>
                <w:sz w:val="22"/>
                <w:u w:val="single"/>
              </w:rPr>
            </w:pPr>
            <w:r>
              <w:rPr>
                <w:rFonts w:cs="Arial" w:ascii="Arial" w:hAnsi="Arial"/>
                <w:b/>
                <w:sz w:val="22"/>
                <w:u w:val="single"/>
              </w:rPr>
            </w:r>
          </w:p>
        </w:tc>
      </w:tr>
      <w:tr>
        <w:trPr/>
        <w:tc>
          <w:tcPr>
            <w:tcW w:w="2808" w:type="dxa"/>
            <w:tcBorders/>
          </w:tcPr>
          <w:p>
            <w:pPr>
              <w:pStyle w:val="Normal"/>
              <w:ind w:end="-576"/>
              <w:jc w:val="both"/>
              <w:rPr>
                <w:rFonts w:ascii="Arial" w:hAnsi="Arial" w:cs="Arial"/>
                <w:b/>
                <w:sz w:val="20"/>
                <w:u w:val="single"/>
              </w:rPr>
            </w:pPr>
            <w:r>
              <w:rPr>
                <w:rFonts w:cs="Arial" w:ascii="Arial" w:hAnsi="Arial"/>
                <w:b/>
                <w:sz w:val="20"/>
              </w:rPr>
              <w:t>Buyer:</w:t>
            </w:r>
          </w:p>
        </w:tc>
        <w:tc>
          <w:tcPr>
            <w:tcW w:w="7740" w:type="dxa"/>
            <w:tcBorders/>
          </w:tcPr>
          <w:p>
            <w:pPr>
              <w:pStyle w:val="Normal"/>
              <w:ind w:end="720"/>
              <w:rPr>
                <w:rFonts w:ascii="Arial" w:hAnsi="Arial" w:cs="Arial"/>
                <w:sz w:val="22"/>
              </w:rPr>
            </w:pPr>
            <w:r>
              <w:rPr>
                <w:rFonts w:cs="Arial" w:ascii="Arial" w:hAnsi="Arial"/>
                <w:sz w:val="22"/>
              </w:rPr>
              <w:t xml:space="preserve">Public Service of New Mexico  (“PNM”) </w:t>
            </w:r>
          </w:p>
        </w:tc>
      </w:tr>
      <w:tr>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0"/>
              </w:rPr>
            </w:pPr>
            <w:r>
              <w:rPr>
                <w:rFonts w:cs="Arial" w:ascii="Arial" w:hAnsi="Arial"/>
                <w:b/>
                <w:sz w:val="20"/>
              </w:rPr>
              <w:t>Seller:</w:t>
            </w:r>
          </w:p>
        </w:tc>
        <w:tc>
          <w:tcPr>
            <w:tcW w:w="7740" w:type="dxa"/>
            <w:tcBorders/>
          </w:tcPr>
          <w:p>
            <w:pPr>
              <w:pStyle w:val="Normal"/>
              <w:ind w:end="720"/>
              <w:rPr>
                <w:rFonts w:ascii="Arial" w:hAnsi="Arial" w:cs="Arial"/>
                <w:sz w:val="22"/>
              </w:rPr>
            </w:pPr>
            <w:r>
              <w:rPr>
                <w:rFonts w:cs="Arial" w:ascii="Arial" w:hAnsi="Arial"/>
                <w:sz w:val="22"/>
              </w:rPr>
              <w:t>Enron North America ( “ENA”)</w:t>
            </w:r>
          </w:p>
        </w:tc>
      </w:tr>
      <w:tr>
        <w:trPr>
          <w:trHeight w:val="333" w:hRule="atLeast"/>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0"/>
              </w:rPr>
            </w:pPr>
            <w:r>
              <w:rPr>
                <w:rFonts w:cs="Arial" w:ascii="Arial" w:hAnsi="Arial"/>
                <w:b/>
                <w:sz w:val="20"/>
              </w:rPr>
              <w:t>Period of Agreement:</w:t>
            </w:r>
          </w:p>
        </w:tc>
        <w:tc>
          <w:tcPr>
            <w:tcW w:w="7740" w:type="dxa"/>
            <w:tcBorders/>
          </w:tcPr>
          <w:p>
            <w:pPr>
              <w:pStyle w:val="Normal"/>
              <w:ind w:end="720"/>
              <w:rPr>
                <w:rFonts w:ascii="Arial" w:hAnsi="Arial" w:cs="Arial"/>
                <w:sz w:val="22"/>
              </w:rPr>
            </w:pPr>
            <w:r>
              <w:rPr>
                <w:rFonts w:cs="Arial" w:ascii="Arial" w:hAnsi="Arial"/>
                <w:sz w:val="22"/>
              </w:rPr>
              <w:t xml:space="preserve">November 1, 2001 – March 30, 2002    </w:t>
            </w:r>
          </w:p>
          <w:p>
            <w:pPr>
              <w:pStyle w:val="Normal"/>
              <w:ind w:end="720"/>
              <w:rPr>
                <w:rFonts w:ascii="Arial" w:hAnsi="Arial" w:cs="Arial"/>
                <w:sz w:val="22"/>
              </w:rPr>
            </w:pPr>
            <w:r>
              <w:rPr>
                <w:rFonts w:cs="Arial" w:ascii="Arial" w:hAnsi="Arial"/>
                <w:sz w:val="22"/>
              </w:rPr>
            </w:r>
          </w:p>
        </w:tc>
      </w:tr>
      <w:tr>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0"/>
              </w:rPr>
            </w:pPr>
            <w:r>
              <w:rPr>
                <w:rFonts w:cs="Arial" w:ascii="Arial" w:hAnsi="Arial"/>
                <w:b/>
                <w:sz w:val="20"/>
              </w:rPr>
              <w:t>Volume:</w:t>
            </w:r>
          </w:p>
        </w:tc>
        <w:tc>
          <w:tcPr>
            <w:tcW w:w="7740" w:type="dxa"/>
            <w:tcBorders/>
          </w:tcPr>
          <w:p>
            <w:pPr>
              <w:pStyle w:val="Normal"/>
              <w:ind w:end="720"/>
              <w:rPr>
                <w:rFonts w:ascii="Arial" w:hAnsi="Arial" w:cs="Arial"/>
                <w:sz w:val="22"/>
              </w:rPr>
            </w:pPr>
            <w:r>
              <w:rPr>
                <w:rFonts w:cs="Arial" w:ascii="Arial" w:hAnsi="Arial"/>
                <w:sz w:val="22"/>
              </w:rPr>
              <w:t xml:space="preserve">See attached schedule.    </w:t>
            </w:r>
          </w:p>
        </w:tc>
      </w:tr>
      <w:tr>
        <w:trPr/>
        <w:tc>
          <w:tcPr>
            <w:tcW w:w="2808" w:type="dxa"/>
            <w:tcBorders/>
          </w:tcPr>
          <w:p>
            <w:pPr>
              <w:pStyle w:val="Normal"/>
              <w:ind w:end="-576"/>
              <w:jc w:val="both"/>
              <w:rPr>
                <w:rFonts w:ascii="Arial" w:hAnsi="Arial" w:cs="Arial"/>
                <w:b/>
                <w:sz w:val="20"/>
              </w:rPr>
            </w:pPr>
            <w:r>
              <w:rPr>
                <w:rFonts w:cs="Arial" w:ascii="Arial" w:hAnsi="Arial"/>
                <w:b/>
                <w:sz w:val="20"/>
              </w:rPr>
              <w:t>Price:</w:t>
            </w:r>
          </w:p>
        </w:tc>
        <w:tc>
          <w:tcPr>
            <w:tcW w:w="7740" w:type="dxa"/>
            <w:tcBorders/>
          </w:tcPr>
          <w:p>
            <w:pPr>
              <w:pStyle w:val="Normal"/>
              <w:ind w:end="720"/>
              <w:rPr>
                <w:rFonts w:ascii="Arial" w:hAnsi="Arial" w:cs="Arial"/>
                <w:sz w:val="22"/>
              </w:rPr>
            </w:pPr>
            <w:r>
              <w:rPr>
                <w:rFonts w:cs="Arial" w:ascii="Arial" w:hAnsi="Arial"/>
                <w:sz w:val="22"/>
              </w:rPr>
              <w:t>See attached schedule.</w:t>
            </w:r>
          </w:p>
        </w:tc>
      </w:tr>
      <w:tr>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ind w:end="-576"/>
              <w:jc w:val="both"/>
              <w:rPr>
                <w:rFonts w:ascii="Arial" w:hAnsi="Arial" w:cs="Arial"/>
                <w:b/>
                <w:sz w:val="20"/>
              </w:rPr>
            </w:pPr>
            <w:r>
              <w:rPr>
                <w:rFonts w:cs="Arial" w:ascii="Arial" w:hAnsi="Arial"/>
                <w:b/>
                <w:sz w:val="20"/>
              </w:rPr>
              <w:t>Payment Terms:</w:t>
            </w:r>
          </w:p>
        </w:tc>
        <w:tc>
          <w:tcPr>
            <w:tcW w:w="7740" w:type="dxa"/>
            <w:tcBorders/>
          </w:tcPr>
          <w:p>
            <w:pPr>
              <w:pStyle w:val="Normal"/>
              <w:ind w:end="720"/>
              <w:rPr>
                <w:rFonts w:ascii="Arial" w:hAnsi="Arial" w:cs="Arial"/>
                <w:sz w:val="22"/>
              </w:rPr>
            </w:pPr>
            <w:r>
              <w:rPr>
                <w:rFonts w:cs="Arial" w:ascii="Arial" w:hAnsi="Arial"/>
                <w:sz w:val="22"/>
              </w:rPr>
              <w:t xml:space="preserve">PNM will pay the premium on the options structures ( as applicable ) no later than two after receipt of invoice. </w:t>
            </w:r>
          </w:p>
        </w:tc>
      </w:tr>
      <w:tr>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r>
        <w:trPr/>
        <w:tc>
          <w:tcPr>
            <w:tcW w:w="2808" w:type="dxa"/>
            <w:tcBorders/>
          </w:tcPr>
          <w:p>
            <w:pPr>
              <w:pStyle w:val="Normal"/>
              <w:snapToGrid w:val="false"/>
              <w:ind w:end="-576"/>
              <w:jc w:val="both"/>
              <w:rPr>
                <w:rFonts w:ascii="Arial" w:hAnsi="Arial" w:cs="Arial"/>
                <w:b/>
                <w:sz w:val="20"/>
              </w:rPr>
            </w:pPr>
            <w:r>
              <w:rPr>
                <w:rFonts w:cs="Arial" w:ascii="Arial" w:hAnsi="Arial"/>
                <w:b/>
                <w:sz w:val="20"/>
              </w:rPr>
            </w:r>
          </w:p>
        </w:tc>
        <w:tc>
          <w:tcPr>
            <w:tcW w:w="7740" w:type="dxa"/>
            <w:tcBorders/>
          </w:tcPr>
          <w:p>
            <w:pPr>
              <w:pStyle w:val="Normal"/>
              <w:snapToGrid w:val="false"/>
              <w:ind w:end="720"/>
              <w:rPr>
                <w:rFonts w:ascii="Arial" w:hAnsi="Arial" w:cs="Arial"/>
                <w:b/>
                <w:sz w:val="22"/>
              </w:rPr>
            </w:pPr>
            <w:r>
              <w:rPr>
                <w:rFonts w:cs="Arial" w:ascii="Arial" w:hAnsi="Arial"/>
                <w:b/>
                <w:sz w:val="22"/>
              </w:rPr>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 xml:space="preserve">The products and pricing indicated do not constitute a binding offer to business and are subject to change without notice. </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ind w:end="720"/>
        <w:rPr>
          <w:rFonts w:ascii="Arial" w:hAnsi="Arial" w:cs="Arial"/>
          <w:sz w:val="22"/>
        </w:rPr>
      </w:pPr>
      <w:r>
        <w:rPr>
          <w:rFonts w:cs="Arial" w:ascii="Arial" w:hAnsi="Arial"/>
          <w:sz w:val="22"/>
        </w:rPr>
        <w:t>Regards,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t>____________________</w:t>
      </w:r>
    </w:p>
    <w:p>
      <w:pPr>
        <w:pStyle w:val="Normal"/>
        <w:ind w:end="720"/>
        <w:rPr>
          <w:rFonts w:ascii="Arial" w:hAnsi="Arial" w:cs="Arial"/>
          <w:sz w:val="22"/>
        </w:rPr>
      </w:pPr>
      <w:r>
        <w:rPr>
          <w:rFonts w:cs="Arial" w:ascii="Arial" w:hAnsi="Arial"/>
          <w:sz w:val="22"/>
        </w:rPr>
        <w:t>Enron Canada Corp.</w:t>
      </w:r>
    </w:p>
    <w:p>
      <w:pPr>
        <w:pStyle w:val="Normal"/>
        <w:ind w:end="720"/>
        <w:rPr>
          <w:rFonts w:ascii="Arial" w:hAnsi="Arial" w:cs="Arial"/>
          <w:sz w:val="22"/>
        </w:rPr>
      </w:pPr>
      <w:r>
        <w:rPr>
          <w:rFonts w:cs="Arial" w:ascii="Arial" w:hAnsi="Arial"/>
          <w:sz w:val="22"/>
        </w:rPr>
        <w:t xml:space="preserve">Kim Ward </w:t>
      </w:r>
    </w:p>
    <w:p>
      <w:pPr>
        <w:pStyle w:val="Normal"/>
        <w:ind w:end="720"/>
        <w:rPr>
          <w:rFonts w:ascii="Arial" w:hAnsi="Arial" w:cs="Arial"/>
          <w:sz w:val="22"/>
        </w:rPr>
      </w:pPr>
      <w:r>
        <w:rPr>
          <w:rFonts w:cs="Arial" w:ascii="Arial" w:hAnsi="Arial"/>
          <w:sz w:val="22"/>
        </w:rPr>
        <w:t xml:space="preserve">Manager </w:t>
      </w:r>
    </w:p>
    <w:sectPr>
      <w:headerReference w:type="default" r:id="rId2"/>
      <w:headerReference w:type="first" r:id="rId3"/>
      <w:type w:val="nextPage"/>
      <w:pgSz w:w="12240" w:h="15840"/>
      <w:pgMar w:left="1440" w:right="720" w:gutter="0" w:header="720" w:top="3024"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Univers (W1)">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ind w:hanging="0" w:start="0" w:end="-1044"/>
      <w:jc w:val="both"/>
      <w:outlineLvl w:val="2"/>
    </w:pPr>
    <w:rPr>
      <w:rFonts w:ascii="Arial" w:hAnsi="Arial" w:cs="Arial"/>
      <w:b/>
      <w:color w:val="0000FF"/>
      <w:sz w:val="22"/>
      <w:u w:val="single"/>
    </w:rPr>
  </w:style>
  <w:style w:type="character" w:styleId="WW8Num2z0">
    <w:name w:val="WW8Num2z0"/>
    <w:qFormat/>
    <w:rPr/>
  </w:style>
  <w:style w:type="character" w:styleId="WW8Num3z0">
    <w:name w:val="WW8Num3z0"/>
    <w:qFormat/>
    <w:rPr/>
  </w:style>
  <w:style w:type="character" w:styleId="WW8Num6z0">
    <w:name w:val="WW8Num6z0"/>
    <w:qFormat/>
    <w:rPr>
      <w:rFonts w:ascii="Symbol" w:hAnsi="Symbol" w:cs="Symbol"/>
      <w:color w:val="0000FF"/>
      <w:sz w:val="28"/>
    </w:rPr>
  </w:style>
  <w:style w:type="character" w:styleId="WW8Num7z0">
    <w:name w:val="WW8Num7z0"/>
    <w:qFormat/>
    <w:rPr>
      <w:rFonts w:ascii="Wingdings" w:hAnsi="Wingdings" w:cs="Wingdings"/>
      <w:sz w:val="16"/>
    </w:rPr>
  </w:style>
  <w:style w:type="character" w:styleId="WW8Num11z0">
    <w:name w:val="WW8Num11z0"/>
    <w:qFormat/>
    <w:rPr>
      <w:rFonts w:ascii="Symbol" w:hAnsi="Symbol" w:cs="Symbol"/>
      <w:color w:val="0000FF"/>
      <w:sz w:val="28"/>
    </w:rPr>
  </w:style>
  <w:style w:type="character" w:styleId="WW8Num12z0">
    <w:name w:val="WW8Num12z0"/>
    <w:qFormat/>
    <w:rPr>
      <w:rFonts w:ascii="Symbol" w:hAnsi="Symbol" w:cs="Symbol"/>
      <w:color w:val="0000FF"/>
      <w:sz w:val="28"/>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0" w:end="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2001-01-31T13:44:00Z</dcterms:created>
  <dc:creator>Barry Tycholiz</dc:creator>
  <dc:description/>
  <dc:language>en-CA</dc:language>
  <cp:lastModifiedBy>btychol</cp:lastModifiedBy>
  <cp:lastPrinted>2000-02-17T15:57:00Z</cp:lastPrinted>
  <dcterms:modified xsi:type="dcterms:W3CDTF">2001-01-31T15:37:00Z</dcterms:modified>
  <cp:revision>3</cp:revision>
  <dc:subject/>
  <dc:title>October 2, 1995</dc:title>
</cp:coreProperties>
</file>