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u w:val="none"/>
        </w:rPr>
      </w:pPr>
      <w:r>
        <w:rPr>
          <w:u w:val="none"/>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Heading"/>
        <w:rPr/>
      </w:pPr>
      <w:r>
        <w:rPr/>
      </w:r>
    </w:p>
    <w:p>
      <w:pPr>
        <w:pStyle w:val="Heading"/>
        <w:rPr/>
      </w:pPr>
      <w:r>
        <w:rPr/>
        <w:t>CONFIDENTIAL</w:t>
      </w:r>
    </w:p>
    <w:p>
      <w:pPr>
        <w:pStyle w:val="Normal"/>
        <w:jc w:val="center"/>
        <w:rPr/>
      </w:pPr>
      <w:r>
        <w:rPr/>
      </w:r>
    </w:p>
    <w:p>
      <w:pPr>
        <w:pStyle w:val="Header"/>
        <w:tabs>
          <w:tab w:val="clear" w:pos="4320"/>
          <w:tab w:val="clear" w:pos="8640"/>
        </w:tabs>
        <w:rPr>
          <w:u w:val="single"/>
        </w:rPr>
      </w:pPr>
      <w:r>
        <w:rPr/>
        <w:t>August 2, 2001</w:t>
      </w:r>
    </w:p>
    <w:p>
      <w:pPr>
        <w:pStyle w:val="Normal"/>
        <w:rPr>
          <w:u w:val="single"/>
        </w:rPr>
      </w:pPr>
      <w:r>
        <w:rPr>
          <w:u w:val="single"/>
        </w:rPr>
      </w:r>
    </w:p>
    <w:p>
      <w:pPr>
        <w:pStyle w:val="Heading9"/>
        <w:ind w:hanging="0" w:start="0"/>
        <w:rPr/>
      </w:pPr>
      <w:r>
        <w:rPr/>
        <w:t>Mr. Ron Grossarth</w:t>
      </w:r>
    </w:p>
    <w:p>
      <w:pPr>
        <w:pStyle w:val="Normal"/>
        <w:rPr/>
      </w:pPr>
      <w:r>
        <w:rPr/>
        <w:t>Public Service Company of New Mexico</w:t>
      </w:r>
    </w:p>
    <w:p>
      <w:pPr>
        <w:pStyle w:val="Normal"/>
        <w:rPr/>
      </w:pPr>
      <w:r>
        <w:rPr/>
        <w:t>2401 Aztec N.E.</w:t>
      </w:r>
    </w:p>
    <w:p>
      <w:pPr>
        <w:pStyle w:val="Normal"/>
        <w:rPr/>
      </w:pPr>
      <w:r>
        <w:rPr/>
        <w:t>Albuquerque, New Mexico</w:t>
      </w:r>
    </w:p>
    <w:p>
      <w:pPr>
        <w:pStyle w:val="Normal"/>
        <w:rPr/>
      </w:pPr>
      <w:r>
        <w:rPr/>
        <w:t>RE: El Paso Capacity Proposal</w:t>
      </w:r>
    </w:p>
    <w:p>
      <w:pPr>
        <w:pStyle w:val="Normal"/>
        <w:rPr/>
      </w:pPr>
      <w:r>
        <w:rPr/>
      </w:r>
    </w:p>
    <w:p>
      <w:pPr>
        <w:pStyle w:val="Normal"/>
        <w:rPr/>
      </w:pPr>
      <w:r>
        <w:rPr/>
      </w:r>
    </w:p>
    <w:p>
      <w:pPr>
        <w:pStyle w:val="Normal"/>
        <w:rPr/>
      </w:pPr>
      <w:r>
        <w:rPr/>
        <w:t>Dear Mr. Grossarth:</w:t>
      </w:r>
    </w:p>
    <w:p>
      <w:pPr>
        <w:pStyle w:val="Normal"/>
        <w:rPr/>
      </w:pPr>
      <w:r>
        <w:rPr/>
      </w:r>
    </w:p>
    <w:p>
      <w:pPr>
        <w:pStyle w:val="Normal"/>
        <w:rPr/>
      </w:pPr>
      <w:r>
        <w:rPr/>
        <w:t xml:space="preserve">Please find a proposal for your consideration from Enron North America Corp. (“ENA”) to Public Service Company of New Mexico (“PNM”).  This proposal outlines the terms under which ENA would assign physical capacity to PNM. If the terms are acceptable, please indicate  your acceptance by signing the attached proposal. Upon receipt of the executed document, we will post a binding prearranged deal on the bulletin board for your acceptance. </w:t>
      </w:r>
    </w:p>
    <w:p>
      <w:pPr>
        <w:pStyle w:val="Normal"/>
        <w:rPr/>
      </w:pPr>
      <w:r>
        <w:rPr/>
      </w:r>
    </w:p>
    <w:p>
      <w:pPr>
        <w:pStyle w:val="Normal"/>
        <w:rPr/>
      </w:pPr>
      <w:r>
        <w:rPr/>
        <w:t xml:space="preserve">In the meantime, please contact me if there are any questions.  I can be reached by phone at 713-853-1688 and by email at </w:t>
      </w:r>
      <w:r>
        <w:rPr>
          <w:u w:val="single"/>
        </w:rPr>
        <w:t>stephanie.miller@enron.com</w:t>
      </w:r>
      <w:r>
        <w:rPr/>
        <w:t xml:space="preserve">. </w:t>
      </w:r>
    </w:p>
    <w:p>
      <w:pPr>
        <w:pStyle w:val="Normal"/>
        <w:rPr/>
      </w:pPr>
      <w:r>
        <w:rPr/>
      </w:r>
    </w:p>
    <w:p>
      <w:pPr>
        <w:pStyle w:val="Header"/>
        <w:tabs>
          <w:tab w:val="clear" w:pos="4320"/>
          <w:tab w:val="clear" w:pos="8640"/>
        </w:tabs>
        <w:rPr/>
      </w:pPr>
      <w:r>
        <w:rPr/>
      </w:r>
    </w:p>
    <w:p>
      <w:pPr>
        <w:pStyle w:val="Normal"/>
        <w:rPr/>
      </w:pPr>
      <w:r>
        <w:rPr/>
      </w:r>
    </w:p>
    <w:p>
      <w:pPr>
        <w:pStyle w:val="Normal"/>
        <w:rPr/>
      </w:pPr>
      <w:r>
        <w:rPr/>
        <w:t>Regards,</w:t>
      </w:r>
    </w:p>
    <w:p>
      <w:pPr>
        <w:pStyle w:val="Normal"/>
        <w:rPr/>
      </w:pPr>
      <w:r>
        <w:rPr/>
      </w:r>
    </w:p>
    <w:p>
      <w:pPr>
        <w:pStyle w:val="Normal"/>
        <w:rPr/>
      </w:pPr>
      <w:r>
        <w:rPr/>
        <w:t>ENRON NORTH AMERICA</w:t>
        <w:tab/>
      </w:r>
    </w:p>
    <w:p>
      <w:pPr>
        <w:pStyle w:val="Normal"/>
        <w:rPr/>
      </w:pPr>
      <w:r>
        <w:rPr/>
      </w:r>
    </w:p>
    <w:p>
      <w:pPr>
        <w:pStyle w:val="Normal"/>
        <w:rPr/>
      </w:pPr>
      <w:r>
        <w:rPr/>
      </w:r>
    </w:p>
    <w:p>
      <w:pPr>
        <w:pStyle w:val="Normal"/>
        <w:rPr/>
      </w:pPr>
      <w:r>
        <w:rPr/>
      </w:r>
    </w:p>
    <w:p>
      <w:pPr>
        <w:pStyle w:val="Normal"/>
        <w:rPr/>
      </w:pPr>
      <w:r>
        <w:rPr/>
      </w:r>
    </w:p>
    <w:p>
      <w:pPr>
        <w:pStyle w:val="Normal"/>
        <w:rPr>
          <w:u w:val="single"/>
        </w:rPr>
      </w:pPr>
      <w:r>
        <w:rPr>
          <w:u w:val="single"/>
        </w:rPr>
        <w:t>______________________________</w:t>
      </w:r>
    </w:p>
    <w:p>
      <w:pPr>
        <w:pStyle w:val="Normal"/>
        <w:rPr>
          <w:u w:val="single"/>
        </w:rPr>
      </w:pPr>
      <w:r>
        <w:rPr>
          <w:u w:val="single"/>
        </w:rPr>
      </w:r>
    </w:p>
    <w:p>
      <w:pPr>
        <w:pStyle w:val="Normal"/>
        <w:rPr/>
      </w:pPr>
      <w:r>
        <w:rPr/>
        <w:t>Stephanie Miller</w:t>
      </w:r>
    </w:p>
    <w:p>
      <w:pPr>
        <w:pStyle w:val="Normal"/>
        <w:rPr/>
      </w:pPr>
      <w:r>
        <w:rPr/>
        <w:t>Director</w:t>
      </w:r>
    </w:p>
    <w:p>
      <w:pPr>
        <w:pStyle w:val="Normal"/>
        <w:rPr/>
      </w:pPr>
      <w:r>
        <w:rPr/>
      </w:r>
    </w:p>
    <w:p>
      <w:pPr>
        <w:pStyle w:val="Normal"/>
        <w:rPr/>
      </w:pPr>
      <w:r>
        <w:rPr/>
        <w:t>cc: Ed Jaroch – PNM Oil Company</w:t>
      </w:r>
      <w:r>
        <w:br w:type="page"/>
      </w:r>
    </w:p>
    <w:p>
      <w:pPr>
        <w:pStyle w:val="Normal"/>
        <w:rPr>
          <w:sz w:val="22"/>
        </w:rPr>
      </w:pPr>
      <w:r>
        <w:rPr/>
        <w:drawing>
          <wp:inline distT="0" distB="0" distL="0" distR="0">
            <wp:extent cx="1015365" cy="100901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39" t="-39" r="-39" b="-39"/>
                    <a:stretch>
                      <a:fillRect/>
                    </a:stretch>
                  </pic:blipFill>
                  <pic:spPr bwMode="auto">
                    <a:xfrm>
                      <a:off x="0" y="0"/>
                      <a:ext cx="1015365" cy="1009015"/>
                    </a:xfrm>
                    <a:prstGeom prst="rect">
                      <a:avLst/>
                    </a:prstGeom>
                    <a:noFill/>
                  </pic:spPr>
                </pic:pic>
              </a:graphicData>
            </a:graphic>
          </wp:inline>
        </w:drawing>
      </w:r>
    </w:p>
    <w:p>
      <w:pPr>
        <w:pStyle w:val="Normal"/>
        <w:rPr>
          <w:sz w:val="22"/>
        </w:rPr>
      </w:pPr>
      <w:r>
        <w:rPr>
          <w:sz w:val="22"/>
        </w:rPr>
      </w:r>
    </w:p>
    <w:p>
      <w:pPr>
        <w:pStyle w:val="Heading7"/>
        <w:ind w:hanging="0" w:start="0"/>
        <w:rPr>
          <w:sz w:val="32"/>
        </w:rPr>
      </w:pPr>
      <w:r>
        <w:rPr>
          <w:sz w:val="32"/>
        </w:rPr>
        <w:t>ENRON NORTH AMERICA CORP</w:t>
      </w:r>
    </w:p>
    <w:p>
      <w:pPr>
        <w:pStyle w:val="Normal"/>
        <w:jc w:val="center"/>
        <w:rPr>
          <w:sz w:val="22"/>
        </w:rPr>
      </w:pPr>
      <w:r>
        <w:rPr>
          <w:sz w:val="22"/>
        </w:rPr>
      </w:r>
    </w:p>
    <w:p>
      <w:pPr>
        <w:pStyle w:val="Normal"/>
        <w:jc w:val="center"/>
        <w:rPr>
          <w:b/>
          <w:bCs/>
        </w:rPr>
      </w:pPr>
      <w:r>
        <w:rPr>
          <w:b/>
          <w:bCs/>
        </w:rPr>
        <w:t>Public Service Company of New Mexico</w:t>
      </w:r>
    </w:p>
    <w:p>
      <w:pPr>
        <w:pStyle w:val="Normal"/>
        <w:ind w:firstLine="720" w:start="1440" w:end="0"/>
        <w:jc w:val="center"/>
        <w:rPr>
          <w:b/>
          <w:bCs/>
          <w:sz w:val="22"/>
        </w:rPr>
      </w:pPr>
      <w:r>
        <w:rPr>
          <w:b/>
          <w:bCs/>
          <w:sz w:val="22"/>
        </w:rPr>
      </w:r>
    </w:p>
    <w:p>
      <w:pPr>
        <w:pStyle w:val="Normal"/>
        <w:ind w:firstLine="720" w:start="1440" w:end="0"/>
        <w:jc w:val="center"/>
        <w:rPr>
          <w:sz w:val="22"/>
        </w:rPr>
      </w:pPr>
      <w:r>
        <w:rPr>
          <w:sz w:val="22"/>
        </w:rPr>
      </w:r>
    </w:p>
    <w:p>
      <w:pPr>
        <w:pStyle w:val="Normal"/>
        <w:ind w:firstLine="720" w:start="1440" w:end="0"/>
        <w:jc w:val="center"/>
        <w:rPr>
          <w:sz w:val="22"/>
        </w:rPr>
      </w:pPr>
      <w:r>
        <w:rPr>
          <w:sz w:val="22"/>
        </w:rPr>
      </w:r>
    </w:p>
    <w:p>
      <w:pPr>
        <w:pStyle w:val="Normal"/>
        <w:ind w:firstLine="720" w:start="1440" w:end="0"/>
        <w:jc w:val="center"/>
        <w:rPr>
          <w:sz w:val="22"/>
        </w:rPr>
      </w:pPr>
      <w:r>
        <w:rPr>
          <w:sz w:val="22"/>
        </w:rPr>
      </w:r>
    </w:p>
    <w:p>
      <w:pPr>
        <w:pStyle w:val="BodyText"/>
        <w:jc w:val="center"/>
        <w:rPr>
          <w:b/>
          <w:bCs/>
        </w:rPr>
      </w:pPr>
      <w:r>
        <w:rPr>
          <w:b/>
          <w:bCs/>
        </w:rPr>
        <w:t>SUMMARY OF CERTAIN TERMS AND CONDITIONS</w:t>
      </w:r>
    </w:p>
    <w:p>
      <w:pPr>
        <w:pStyle w:val="BodyText"/>
        <w:jc w:val="center"/>
        <w:rPr>
          <w:b/>
          <w:bCs/>
        </w:rPr>
      </w:pPr>
      <w:r>
        <w:rPr>
          <w:b/>
          <w:bCs/>
        </w:rPr>
      </w:r>
    </w:p>
    <w:p>
      <w:pPr>
        <w:pStyle w:val="BodyText"/>
        <w:rPr>
          <w:sz w:val="14"/>
        </w:rPr>
      </w:pPr>
      <w:r>
        <w:rPr>
          <w:sz w:val="14"/>
        </w:rPr>
        <w:t>THE TERMS OF ANY DEFINITVIE AGREEMENT(S) CONCERNING THE SUBJECT MATTER HEREOF WILL SUPERSEDE AND REPLACE ANY SUMMARY OF SUCH TERMS AS STATED.  THIS PROPOSED SUMMARY OF TERMS IS FOR DISCUSSION PURPOSES ONLY AND IS NOT COMPLETE AND IS NOT ALL-INCLUSIVE OF THE TERMS OF THE PROPOSED TRANSACTION.  IT DOES NOT CREATE, AND IS NOT INTENDED TO CREATE, ANY BINDING OBLIGATION OR OFFER TO ANY PARTY OR PARTIES (ALL OF WHICH WILL BE CREATED, IF AT ALL, ONLY BY BINDING, DEFINITIVE DOCUMENTS AMONG THE PARTIES) OR ANY DUTY OR OBLIGATION OF GOOD FAITH OR OTHERWISE ON ANY PERSON TO NEGOTIATE BINDING, DEFINITIVE DOCUMENTS.  THIS PROPOSED SUMMARY OF TERMS MAY NOT BE RELIED UPON BY ANY PERSON AS THE BASIS FOR A CONTRACT BY ESPTOPPEL OR OTHERWISE.</w:t>
      </w:r>
    </w:p>
    <w:p>
      <w:pPr>
        <w:pStyle w:val="Normal"/>
        <w:jc w:val="both"/>
        <w:rPr>
          <w:sz w:val="22"/>
        </w:rPr>
      </w:pPr>
      <w:r>
        <w:rPr>
          <w:sz w:val="22"/>
        </w:rPr>
      </w:r>
    </w:p>
    <w:p>
      <w:pPr>
        <w:pStyle w:val="Normal"/>
        <w:jc w:val="both"/>
        <w:rPr>
          <w:sz w:val="22"/>
        </w:rPr>
      </w:pPr>
      <w:r>
        <w:rPr>
          <w:sz w:val="22"/>
        </w:rPr>
      </w:r>
    </w:p>
    <w:p>
      <w:pPr>
        <w:pStyle w:val="Normal"/>
        <w:jc w:val="both"/>
        <w:rPr>
          <w:sz w:val="20"/>
        </w:rPr>
      </w:pPr>
      <w:r>
        <w:rPr>
          <w:sz w:val="20"/>
        </w:rPr>
      </w:r>
    </w:p>
    <w:p>
      <w:pPr>
        <w:pStyle w:val="Heading6"/>
        <w:ind w:hanging="0" w:start="0"/>
        <w:rPr>
          <w:sz w:val="20"/>
        </w:rPr>
      </w:pPr>
      <w:r>
        <w:rPr>
          <w:sz w:val="20"/>
        </w:rPr>
        <w:t>Scope of Proposal</w:t>
      </w:r>
    </w:p>
    <w:p>
      <w:pPr>
        <w:pStyle w:val="Normal"/>
        <w:jc w:val="both"/>
        <w:rPr>
          <w:sz w:val="20"/>
        </w:rPr>
      </w:pPr>
      <w:r>
        <w:rPr>
          <w:sz w:val="20"/>
        </w:rPr>
      </w:r>
    </w:p>
    <w:p>
      <w:pPr>
        <w:pStyle w:val="Normal"/>
        <w:jc w:val="both"/>
        <w:rPr>
          <w:i/>
          <w:i/>
          <w:iCs/>
          <w:sz w:val="20"/>
        </w:rPr>
      </w:pPr>
      <w:r>
        <w:rPr>
          <w:i/>
          <w:iCs/>
          <w:sz w:val="20"/>
        </w:rPr>
        <w:t>Enron North America Corp. (“ENA”) shall make available for assignment to Public Service Company of New Mexico. (“PNM”) term capacity on El Paso Natural Gas Co. subject to the Volumes, Terms and Conditions as agreed to by Assignee and Assignor set forth herein.</w:t>
      </w:r>
    </w:p>
    <w:p>
      <w:pPr>
        <w:pStyle w:val="Normal"/>
        <w:jc w:val="both"/>
        <w:rPr>
          <w:i/>
          <w:i/>
          <w:iCs/>
          <w:sz w:val="20"/>
        </w:rPr>
      </w:pPr>
      <w:r>
        <w:rPr>
          <w:i/>
          <w:iCs/>
          <w:sz w:val="20"/>
        </w:rPr>
      </w:r>
    </w:p>
    <w:p>
      <w:pPr>
        <w:pStyle w:val="CommentText"/>
        <w:rPr>
          <w:sz w:val="20"/>
        </w:rPr>
      </w:pPr>
      <w:r>
        <w:rPr>
          <w:sz w:val="20"/>
        </w:rPr>
      </w:r>
    </w:p>
    <w:p>
      <w:pPr>
        <w:pStyle w:val="Normal"/>
        <w:rPr>
          <w:sz w:val="20"/>
        </w:rPr>
      </w:pPr>
      <w:r>
        <w:rPr>
          <w:sz w:val="20"/>
        </w:rPr>
      </w:r>
    </w:p>
    <w:p>
      <w:pPr>
        <w:pStyle w:val="Heading6"/>
        <w:ind w:hanging="0" w:start="0"/>
        <w:rPr>
          <w:sz w:val="24"/>
        </w:rPr>
      </w:pPr>
      <w:r>
        <w:rPr>
          <w:sz w:val="24"/>
        </w:rPr>
        <w:t>El Paso Natural Gas Transportation Assignment</w:t>
      </w:r>
    </w:p>
    <w:p>
      <w:pPr>
        <w:pStyle w:val="Normal"/>
        <w:jc w:val="both"/>
        <w:rPr>
          <w:b/>
          <w:bCs/>
          <w:sz w:val="20"/>
          <w:u w:val="single"/>
        </w:rPr>
      </w:pPr>
      <w:r>
        <w:rPr>
          <w:b/>
          <w:bCs/>
          <w:sz w:val="20"/>
          <w:u w:val="single"/>
        </w:rPr>
      </w:r>
    </w:p>
    <w:p>
      <w:pPr>
        <w:pStyle w:val="Normal"/>
        <w:jc w:val="both"/>
        <w:rPr/>
      </w:pPr>
      <w:r>
        <w:rPr>
          <w:b/>
          <w:bCs/>
          <w:sz w:val="20"/>
          <w:u w:val="single"/>
        </w:rPr>
        <w:t>Period of Assignment</w:t>
      </w:r>
      <w:r>
        <w:rPr>
          <w:b/>
          <w:bCs/>
          <w:sz w:val="20"/>
        </w:rPr>
        <w:t>:</w:t>
      </w:r>
      <w:r>
        <w:rPr>
          <w:sz w:val="20"/>
        </w:rPr>
        <w:tab/>
        <w:tab/>
        <w:tab/>
        <w:t>July 1, 2002 - May 31, 2006</w:t>
      </w:r>
    </w:p>
    <w:p>
      <w:pPr>
        <w:pStyle w:val="Normal"/>
        <w:jc w:val="both"/>
        <w:rPr>
          <w:sz w:val="20"/>
        </w:rPr>
      </w:pPr>
      <w:r>
        <w:rPr>
          <w:sz w:val="20"/>
        </w:rPr>
      </w:r>
    </w:p>
    <w:p>
      <w:pPr>
        <w:pStyle w:val="Normal"/>
        <w:ind w:hanging="3600" w:start="3600" w:end="0"/>
        <w:jc w:val="both"/>
        <w:rPr/>
      </w:pPr>
      <w:r>
        <w:rPr>
          <w:b/>
          <w:bCs/>
          <w:sz w:val="20"/>
          <w:u w:val="single"/>
        </w:rPr>
        <w:t>Capacity Rate</w:t>
      </w:r>
      <w:r>
        <w:rPr>
          <w:b/>
          <w:bCs/>
          <w:sz w:val="20"/>
        </w:rPr>
        <w:t>:</w:t>
      </w:r>
      <w:r>
        <w:rPr>
          <w:sz w:val="20"/>
        </w:rPr>
        <w:tab/>
        <w:t>The capacity will be assigned on a permanent basis at 100% of full tolls and PNM shall assume all obligations related to this capacity upon the approval and execution of the related transportation assignment documents as required by EPNG.  (The current rate is $0.3595 per MMBtu per day plus variable charges and fuel.)</w:t>
      </w:r>
    </w:p>
    <w:p>
      <w:pPr>
        <w:pStyle w:val="Normal"/>
        <w:jc w:val="both"/>
        <w:rPr>
          <w:sz w:val="20"/>
        </w:rPr>
      </w:pPr>
      <w:r>
        <w:rPr>
          <w:sz w:val="20"/>
        </w:rPr>
      </w:r>
    </w:p>
    <w:p>
      <w:pPr>
        <w:pStyle w:val="Normal"/>
        <w:jc w:val="both"/>
        <w:rPr>
          <w:sz w:val="20"/>
        </w:rPr>
      </w:pPr>
      <w:r>
        <w:rPr>
          <w:sz w:val="20"/>
        </w:rPr>
      </w:r>
    </w:p>
    <w:p>
      <w:pPr>
        <w:pStyle w:val="Heading6"/>
        <w:ind w:hanging="0" w:start="0"/>
        <w:rPr/>
      </w:pPr>
      <w:r>
        <w:rPr>
          <w:sz w:val="20"/>
        </w:rPr>
        <w:t>Volume to be assigned</w:t>
      </w:r>
      <w:r>
        <w:rPr>
          <w:sz w:val="20"/>
          <w:u w:val="none"/>
        </w:rPr>
        <w:t>:</w:t>
        <w:tab/>
      </w:r>
      <w:r>
        <w:rPr>
          <w:b w:val="false"/>
          <w:bCs w:val="false"/>
          <w:sz w:val="20"/>
          <w:u w:val="none"/>
        </w:rPr>
        <w:tab/>
        <w:tab/>
      </w:r>
      <w:r>
        <w:rPr>
          <w:sz w:val="20"/>
          <w:u w:val="none"/>
        </w:rPr>
        <w:t>Tier I</w:t>
      </w:r>
      <w:r>
        <w:rPr>
          <w:b w:val="false"/>
          <w:bCs w:val="false"/>
          <w:sz w:val="20"/>
          <w:u w:val="none"/>
        </w:rPr>
        <w:t xml:space="preserve">:                 9,577 MMBtu/day – July 1, 2002 – May 31, 2006 </w:t>
      </w:r>
    </w:p>
    <w:p>
      <w:pPr>
        <w:pStyle w:val="Normal"/>
        <w:rPr/>
      </w:pPr>
      <w:r>
        <w:rPr/>
        <w:tab/>
        <w:tab/>
        <w:tab/>
      </w:r>
    </w:p>
    <w:tbl>
      <w:tblPr>
        <w:tblW w:w="9576" w:type="dxa"/>
        <w:jc w:val="center"/>
        <w:tblInd w:w="0" w:type="dxa"/>
        <w:tblLayout w:type="fixed"/>
        <w:tblCellMar>
          <w:top w:w="0" w:type="dxa"/>
          <w:start w:w="108" w:type="dxa"/>
          <w:bottom w:w="0" w:type="dxa"/>
          <w:end w:w="108" w:type="dxa"/>
        </w:tblCellMar>
      </w:tblPr>
      <w:tblGrid>
        <w:gridCol w:w="1818"/>
        <w:gridCol w:w="2012"/>
        <w:gridCol w:w="1915"/>
        <w:gridCol w:w="1915"/>
        <w:gridCol w:w="1916"/>
      </w:tblGrid>
      <w:tr>
        <w:trPr/>
        <w:tc>
          <w:tcPr>
            <w:tcW w:w="181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sz w:val="20"/>
                <w:u w:val="none"/>
              </w:rPr>
            </w:pPr>
            <w:r>
              <w:rPr>
                <w:sz w:val="20"/>
                <w:u w:val="none"/>
              </w:rPr>
              <w:t>Offer</w:t>
            </w:r>
          </w:p>
          <w:p>
            <w:pPr>
              <w:pStyle w:val="Normal"/>
              <w:jc w:val="center"/>
              <w:rPr>
                <w:b/>
                <w:bCs/>
                <w:sz w:val="20"/>
              </w:rPr>
            </w:pPr>
            <w:r>
              <w:rPr>
                <w:b/>
                <w:bCs/>
                <w:sz w:val="20"/>
              </w:rPr>
              <w:t>No.</w:t>
            </w:r>
          </w:p>
        </w:tc>
        <w:tc>
          <w:tcPr>
            <w:tcW w:w="2012"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sz w:val="20"/>
                <w:u w:val="none"/>
              </w:rPr>
            </w:pPr>
            <w:r>
              <w:rPr>
                <w:sz w:val="20"/>
                <w:u w:val="none"/>
              </w:rPr>
              <w:t>MMBtu/d</w:t>
            </w:r>
          </w:p>
        </w:tc>
        <w:tc>
          <w:tcPr>
            <w:tcW w:w="1915"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sz w:val="20"/>
                <w:u w:val="none"/>
              </w:rPr>
            </w:pPr>
            <w:r>
              <w:rPr>
                <w:sz w:val="20"/>
                <w:u w:val="none"/>
              </w:rPr>
              <w:t>Block</w:t>
            </w:r>
          </w:p>
        </w:tc>
        <w:tc>
          <w:tcPr>
            <w:tcW w:w="1915"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sz w:val="20"/>
                <w:u w:val="none"/>
              </w:rPr>
            </w:pPr>
            <w:r>
              <w:rPr>
                <w:sz w:val="20"/>
                <w:u w:val="none"/>
              </w:rPr>
              <w:t>Delivery Point</w:t>
            </w:r>
          </w:p>
        </w:tc>
        <w:tc>
          <w:tcPr>
            <w:tcW w:w="1916"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sz w:val="20"/>
                <w:u w:val="none"/>
              </w:rPr>
            </w:pPr>
            <w:r>
              <w:rPr>
                <w:sz w:val="20"/>
                <w:u w:val="none"/>
              </w:rPr>
              <w:t>Receipt Points</w:t>
            </w:r>
          </w:p>
        </w:tc>
      </w:tr>
      <w:tr>
        <w:trPr/>
        <w:tc>
          <w:tcPr>
            <w:tcW w:w="181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18789</w:t>
            </w:r>
          </w:p>
        </w:tc>
        <w:tc>
          <w:tcPr>
            <w:tcW w:w="2012"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9,577</w:t>
            </w:r>
          </w:p>
        </w:tc>
        <w:tc>
          <w:tcPr>
            <w:tcW w:w="1915"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I</w:t>
            </w:r>
          </w:p>
        </w:tc>
        <w:tc>
          <w:tcPr>
            <w:tcW w:w="1915"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DPG&amp;ETOP</w:t>
            </w:r>
          </w:p>
        </w:tc>
        <w:tc>
          <w:tcPr>
            <w:tcW w:w="1916"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Anadarko/Permian</w:t>
            </w:r>
          </w:p>
        </w:tc>
      </w:tr>
    </w:tbl>
    <w:p>
      <w:pPr>
        <w:pStyle w:val="Normal"/>
        <w:rPr>
          <w:sz w:val="20"/>
        </w:rPr>
      </w:pPr>
      <w:r>
        <w:rPr>
          <w:sz w:val="20"/>
        </w:rPr>
      </w:r>
    </w:p>
    <w:p>
      <w:pPr>
        <w:pStyle w:val="Heading6"/>
        <w:ind w:hanging="0" w:start="0"/>
        <w:jc w:val="center"/>
        <w:rPr>
          <w:sz w:val="20"/>
          <w:u w:val="none"/>
        </w:rPr>
      </w:pPr>
      <w:r>
        <w:rPr>
          <w:sz w:val="20"/>
          <w:u w:val="none"/>
        </w:rPr>
      </w:r>
    </w:p>
    <w:p>
      <w:pPr>
        <w:pStyle w:val="Normal"/>
        <w:rPr>
          <w:sz w:val="20"/>
          <w:u w:val="none"/>
        </w:rPr>
      </w:pPr>
      <w:r>
        <w:rPr>
          <w:sz w:val="20"/>
          <w:u w:val="none"/>
        </w:rPr>
      </w:r>
    </w:p>
    <w:p>
      <w:pPr>
        <w:pStyle w:val="Normal"/>
        <w:rPr>
          <w:sz w:val="20"/>
        </w:rPr>
      </w:pPr>
      <w:r>
        <w:rPr>
          <w:sz w:val="20"/>
        </w:rPr>
      </w:r>
    </w:p>
    <w:p>
      <w:pPr>
        <w:pStyle w:val="Normal"/>
        <w:rPr>
          <w:sz w:val="20"/>
        </w:rPr>
      </w:pPr>
      <w:r>
        <w:rPr>
          <w:sz w:val="20"/>
        </w:rPr>
      </w:r>
    </w:p>
    <w:p>
      <w:pPr>
        <w:pStyle w:val="Normal"/>
        <w:ind w:start="2880" w:end="0"/>
        <w:rPr/>
      </w:pPr>
      <w:r>
        <w:rPr>
          <w:sz w:val="20"/>
        </w:rPr>
        <w:t xml:space="preserve">            </w:t>
      </w:r>
      <w:r>
        <w:rPr>
          <w:b/>
          <w:bCs/>
          <w:sz w:val="20"/>
        </w:rPr>
        <w:t xml:space="preserve">  </w:t>
      </w:r>
      <w:r>
        <w:rPr>
          <w:b/>
          <w:bCs/>
          <w:sz w:val="20"/>
        </w:rPr>
        <w:t>Tier II</w:t>
      </w:r>
      <w:r>
        <w:rPr>
          <w:sz w:val="20"/>
        </w:rPr>
        <w:t>:       20,331 MMBtu/day -November 1, 2002 – May 31, 2006</w:t>
      </w:r>
    </w:p>
    <w:p>
      <w:pPr>
        <w:pStyle w:val="Normal"/>
        <w:rPr>
          <w:sz w:val="20"/>
        </w:rPr>
      </w:pPr>
      <w:r>
        <w:rPr>
          <w:sz w:val="20"/>
        </w:rPr>
      </w:r>
    </w:p>
    <w:tbl>
      <w:tblPr>
        <w:tblW w:w="9576" w:type="dxa"/>
        <w:jc w:val="center"/>
        <w:tblInd w:w="0" w:type="dxa"/>
        <w:tblLayout w:type="fixed"/>
        <w:tblCellMar>
          <w:top w:w="0" w:type="dxa"/>
          <w:start w:w="108" w:type="dxa"/>
          <w:bottom w:w="0" w:type="dxa"/>
          <w:end w:w="108" w:type="dxa"/>
        </w:tblCellMar>
      </w:tblPr>
      <w:tblGrid>
        <w:gridCol w:w="1802"/>
        <w:gridCol w:w="1998"/>
        <w:gridCol w:w="1898"/>
        <w:gridCol w:w="1906"/>
        <w:gridCol w:w="1972"/>
      </w:tblGrid>
      <w:tr>
        <w:trPr/>
        <w:tc>
          <w:tcPr>
            <w:tcW w:w="1802"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sz w:val="20"/>
                <w:u w:val="none"/>
              </w:rPr>
            </w:pPr>
            <w:r>
              <w:rPr>
                <w:sz w:val="20"/>
                <w:u w:val="none"/>
              </w:rPr>
              <w:t>Offer</w:t>
            </w:r>
          </w:p>
          <w:p>
            <w:pPr>
              <w:pStyle w:val="Normal"/>
              <w:jc w:val="center"/>
              <w:rPr>
                <w:b/>
                <w:bCs/>
                <w:sz w:val="20"/>
              </w:rPr>
            </w:pPr>
            <w:r>
              <w:rPr>
                <w:b/>
                <w:bCs/>
                <w:sz w:val="20"/>
              </w:rPr>
              <w:t>No.</w:t>
            </w:r>
          </w:p>
        </w:tc>
        <w:tc>
          <w:tcPr>
            <w:tcW w:w="199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sz w:val="20"/>
                <w:u w:val="none"/>
              </w:rPr>
            </w:pPr>
            <w:r>
              <w:rPr>
                <w:sz w:val="20"/>
                <w:u w:val="none"/>
              </w:rPr>
              <w:t>MMBtu/d</w:t>
            </w:r>
          </w:p>
        </w:tc>
        <w:tc>
          <w:tcPr>
            <w:tcW w:w="189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sz w:val="20"/>
                <w:u w:val="none"/>
              </w:rPr>
            </w:pPr>
            <w:r>
              <w:rPr>
                <w:sz w:val="20"/>
                <w:u w:val="none"/>
              </w:rPr>
              <w:t>Block</w:t>
            </w:r>
          </w:p>
        </w:tc>
        <w:tc>
          <w:tcPr>
            <w:tcW w:w="1906"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sz w:val="20"/>
                <w:u w:val="none"/>
              </w:rPr>
            </w:pPr>
            <w:r>
              <w:rPr>
                <w:sz w:val="20"/>
                <w:u w:val="none"/>
              </w:rPr>
              <w:t>Delivery Point</w:t>
            </w:r>
          </w:p>
        </w:tc>
        <w:tc>
          <w:tcPr>
            <w:tcW w:w="1972"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sz w:val="20"/>
                <w:u w:val="none"/>
              </w:rPr>
            </w:pPr>
            <w:r>
              <w:rPr>
                <w:sz w:val="20"/>
                <w:u w:val="none"/>
              </w:rPr>
              <w:t>Receipt Points</w:t>
            </w:r>
          </w:p>
        </w:tc>
      </w:tr>
      <w:tr>
        <w:trPr/>
        <w:tc>
          <w:tcPr>
            <w:tcW w:w="1802"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18789</w:t>
            </w:r>
          </w:p>
        </w:tc>
        <w:tc>
          <w:tcPr>
            <w:tcW w:w="199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1,218</w:t>
            </w:r>
          </w:p>
        </w:tc>
        <w:tc>
          <w:tcPr>
            <w:tcW w:w="189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I</w:t>
            </w:r>
          </w:p>
        </w:tc>
        <w:tc>
          <w:tcPr>
            <w:tcW w:w="1906"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DPG&amp;ETOP</w:t>
            </w:r>
          </w:p>
        </w:tc>
        <w:tc>
          <w:tcPr>
            <w:tcW w:w="1972"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Anadarko/Permian</w:t>
            </w:r>
          </w:p>
        </w:tc>
      </w:tr>
      <w:tr>
        <w:trPr>
          <w:trHeight w:val="242" w:hRule="atLeast"/>
        </w:trPr>
        <w:tc>
          <w:tcPr>
            <w:tcW w:w="1802"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18790</w:t>
            </w:r>
          </w:p>
        </w:tc>
        <w:tc>
          <w:tcPr>
            <w:tcW w:w="199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3,975</w:t>
            </w:r>
          </w:p>
        </w:tc>
        <w:tc>
          <w:tcPr>
            <w:tcW w:w="189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I</w:t>
            </w:r>
          </w:p>
        </w:tc>
        <w:tc>
          <w:tcPr>
            <w:tcW w:w="1906"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DSCALTOP</w:t>
            </w:r>
          </w:p>
        </w:tc>
        <w:tc>
          <w:tcPr>
            <w:tcW w:w="1972"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Anadarko/Permian</w:t>
            </w:r>
          </w:p>
        </w:tc>
      </w:tr>
      <w:tr>
        <w:trPr>
          <w:trHeight w:val="260" w:hRule="atLeast"/>
        </w:trPr>
        <w:tc>
          <w:tcPr>
            <w:tcW w:w="1802"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18791</w:t>
            </w:r>
          </w:p>
        </w:tc>
        <w:tc>
          <w:tcPr>
            <w:tcW w:w="199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15,138</w:t>
            </w:r>
          </w:p>
        </w:tc>
        <w:tc>
          <w:tcPr>
            <w:tcW w:w="189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I</w:t>
            </w:r>
          </w:p>
        </w:tc>
        <w:tc>
          <w:tcPr>
            <w:tcW w:w="1906"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DSCALEHR</w:t>
            </w:r>
          </w:p>
        </w:tc>
        <w:tc>
          <w:tcPr>
            <w:tcW w:w="1972"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Anadarko/Permian</w:t>
            </w:r>
          </w:p>
        </w:tc>
      </w:tr>
    </w:tbl>
    <w:p>
      <w:pPr>
        <w:pStyle w:val="Heading6"/>
        <w:ind w:hanging="0" w:start="0"/>
        <w:rPr>
          <w:b w:val="false"/>
          <w:bCs w:val="false"/>
          <w:sz w:val="20"/>
          <w:u w:val="none"/>
        </w:rPr>
      </w:pPr>
      <w:r>
        <w:rPr>
          <w:b w:val="false"/>
          <w:bCs w:val="false"/>
          <w:sz w:val="20"/>
          <w:u w:val="none"/>
        </w:rPr>
      </w:r>
    </w:p>
    <w:p>
      <w:pPr>
        <w:pStyle w:val="Normal"/>
        <w:rPr>
          <w:b/>
          <w:bCs/>
          <w:sz w:val="20"/>
          <w:u w:val="none"/>
        </w:rPr>
      </w:pPr>
      <w:r>
        <w:rPr>
          <w:b/>
          <w:bCs/>
          <w:sz w:val="20"/>
          <w:u w:val="none"/>
        </w:rPr>
      </w:r>
    </w:p>
    <w:p>
      <w:pPr>
        <w:pStyle w:val="Normal"/>
        <w:rPr>
          <w:sz w:val="20"/>
        </w:rPr>
      </w:pPr>
      <w:r>
        <w:rPr>
          <w:sz w:val="20"/>
        </w:rPr>
      </w:r>
    </w:p>
    <w:p>
      <w:pPr>
        <w:pStyle w:val="Normal"/>
        <w:rPr>
          <w:sz w:val="20"/>
        </w:rPr>
      </w:pPr>
      <w:r>
        <w:rPr>
          <w:sz w:val="20"/>
        </w:rPr>
      </w:r>
    </w:p>
    <w:p>
      <w:pPr>
        <w:pStyle w:val="Normal"/>
        <w:ind w:start="3600" w:end="0"/>
        <w:rPr/>
      </w:pPr>
      <w:r>
        <w:rPr>
          <w:b/>
          <w:bCs/>
          <w:sz w:val="20"/>
        </w:rPr>
        <w:t>Tier III</w:t>
      </w:r>
      <w:r>
        <w:rPr>
          <w:sz w:val="20"/>
        </w:rPr>
        <w:t>:            16,629 MMBtu/day – October 1, 2003 – May 31, 2006</w:t>
      </w:r>
    </w:p>
    <w:p>
      <w:pPr>
        <w:pStyle w:val="Normal"/>
        <w:rPr>
          <w:sz w:val="20"/>
        </w:rPr>
      </w:pPr>
      <w:r>
        <w:rPr>
          <w:sz w:val="20"/>
        </w:rPr>
      </w:r>
    </w:p>
    <w:tbl>
      <w:tblPr>
        <w:tblW w:w="9544" w:type="dxa"/>
        <w:jc w:val="center"/>
        <w:tblInd w:w="0" w:type="dxa"/>
        <w:tblLayout w:type="fixed"/>
        <w:tblCellMar>
          <w:top w:w="0" w:type="dxa"/>
          <w:start w:w="108" w:type="dxa"/>
          <w:bottom w:w="0" w:type="dxa"/>
          <w:end w:w="108" w:type="dxa"/>
        </w:tblCellMar>
      </w:tblPr>
      <w:tblGrid>
        <w:gridCol w:w="1794"/>
        <w:gridCol w:w="1990"/>
        <w:gridCol w:w="1890"/>
        <w:gridCol w:w="1898"/>
        <w:gridCol w:w="1972"/>
      </w:tblGrid>
      <w:tr>
        <w:trPr>
          <w:trHeight w:val="366" w:hRule="atLeast"/>
        </w:trPr>
        <w:tc>
          <w:tcPr>
            <w:tcW w:w="1794"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sz w:val="20"/>
                <w:u w:val="none"/>
              </w:rPr>
            </w:pPr>
            <w:r>
              <w:rPr>
                <w:sz w:val="20"/>
                <w:u w:val="none"/>
              </w:rPr>
              <w:t>Offer</w:t>
            </w:r>
          </w:p>
          <w:p>
            <w:pPr>
              <w:pStyle w:val="Normal"/>
              <w:jc w:val="center"/>
              <w:rPr>
                <w:b/>
                <w:bCs/>
                <w:sz w:val="20"/>
              </w:rPr>
            </w:pPr>
            <w:r>
              <w:rPr>
                <w:b/>
                <w:bCs/>
                <w:sz w:val="20"/>
              </w:rPr>
              <w:t>No.</w:t>
            </w:r>
          </w:p>
        </w:tc>
        <w:tc>
          <w:tcPr>
            <w:tcW w:w="1990"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sz w:val="20"/>
                <w:u w:val="none"/>
              </w:rPr>
            </w:pPr>
            <w:r>
              <w:rPr>
                <w:sz w:val="20"/>
                <w:u w:val="none"/>
              </w:rPr>
              <w:t>MMBtu/d</w:t>
            </w:r>
          </w:p>
        </w:tc>
        <w:tc>
          <w:tcPr>
            <w:tcW w:w="1890"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sz w:val="20"/>
                <w:u w:val="none"/>
              </w:rPr>
            </w:pPr>
            <w:r>
              <w:rPr>
                <w:sz w:val="20"/>
                <w:u w:val="none"/>
              </w:rPr>
              <w:t>Block</w:t>
            </w:r>
          </w:p>
        </w:tc>
        <w:tc>
          <w:tcPr>
            <w:tcW w:w="189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sz w:val="20"/>
                <w:u w:val="none"/>
              </w:rPr>
            </w:pPr>
            <w:r>
              <w:rPr>
                <w:sz w:val="20"/>
                <w:u w:val="none"/>
              </w:rPr>
              <w:t>Delivery Point</w:t>
            </w:r>
          </w:p>
        </w:tc>
        <w:tc>
          <w:tcPr>
            <w:tcW w:w="1972"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sz w:val="20"/>
                <w:u w:val="none"/>
              </w:rPr>
            </w:pPr>
            <w:r>
              <w:rPr>
                <w:sz w:val="20"/>
                <w:u w:val="none"/>
              </w:rPr>
              <w:t>Receipt Points</w:t>
            </w:r>
          </w:p>
        </w:tc>
      </w:tr>
      <w:tr>
        <w:trPr>
          <w:trHeight w:val="190" w:hRule="atLeast"/>
        </w:trPr>
        <w:tc>
          <w:tcPr>
            <w:tcW w:w="1794"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18791</w:t>
            </w:r>
          </w:p>
        </w:tc>
        <w:tc>
          <w:tcPr>
            <w:tcW w:w="199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7,698</w:t>
            </w:r>
          </w:p>
        </w:tc>
        <w:tc>
          <w:tcPr>
            <w:tcW w:w="1890"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I</w:t>
            </w:r>
          </w:p>
        </w:tc>
        <w:tc>
          <w:tcPr>
            <w:tcW w:w="189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DSCALEHR</w:t>
            </w:r>
          </w:p>
        </w:tc>
        <w:tc>
          <w:tcPr>
            <w:tcW w:w="1972"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Anadarko/Permian</w:t>
            </w:r>
          </w:p>
        </w:tc>
      </w:tr>
      <w:tr>
        <w:trPr>
          <w:trHeight w:val="190" w:hRule="atLeast"/>
        </w:trPr>
        <w:tc>
          <w:tcPr>
            <w:tcW w:w="1794"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18794</w:t>
            </w:r>
          </w:p>
        </w:tc>
        <w:tc>
          <w:tcPr>
            <w:tcW w:w="1990"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8,931</w:t>
            </w:r>
          </w:p>
        </w:tc>
        <w:tc>
          <w:tcPr>
            <w:tcW w:w="1890"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III</w:t>
            </w:r>
          </w:p>
        </w:tc>
        <w:tc>
          <w:tcPr>
            <w:tcW w:w="1898"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DPG&amp;ETOP</w:t>
            </w:r>
          </w:p>
        </w:tc>
        <w:tc>
          <w:tcPr>
            <w:tcW w:w="1972" w:type="dxa"/>
            <w:tcBorders>
              <w:top w:val="single" w:sz="4" w:space="0" w:color="000000"/>
              <w:start w:val="single" w:sz="4" w:space="0" w:color="000000"/>
              <w:bottom w:val="single" w:sz="4" w:space="0" w:color="000000"/>
              <w:end w:val="single" w:sz="4" w:space="0" w:color="000000"/>
            </w:tcBorders>
          </w:tcPr>
          <w:p>
            <w:pPr>
              <w:pStyle w:val="Heading6"/>
              <w:ind w:hanging="0" w:start="0"/>
              <w:jc w:val="center"/>
              <w:rPr>
                <w:b w:val="false"/>
                <w:bCs w:val="false"/>
                <w:sz w:val="20"/>
                <w:u w:val="none"/>
              </w:rPr>
            </w:pPr>
            <w:r>
              <w:rPr>
                <w:b w:val="false"/>
                <w:bCs w:val="false"/>
                <w:sz w:val="20"/>
                <w:u w:val="none"/>
              </w:rPr>
              <w:t>SJ/Anadarko/Permian</w:t>
            </w:r>
          </w:p>
        </w:tc>
      </w:tr>
    </w:tbl>
    <w:p>
      <w:pPr>
        <w:pStyle w:val="Header"/>
        <w:tabs>
          <w:tab w:val="clear" w:pos="4320"/>
          <w:tab w:val="clear" w:pos="8640"/>
        </w:tabs>
        <w:rPr>
          <w:sz w:val="20"/>
        </w:rPr>
      </w:pPr>
      <w:r>
        <w:rPr>
          <w:sz w:val="20"/>
        </w:rPr>
      </w:r>
    </w:p>
    <w:p>
      <w:pPr>
        <w:pStyle w:val="Normal"/>
        <w:rPr>
          <w:sz w:val="20"/>
        </w:rPr>
      </w:pPr>
      <w:r>
        <w:rPr>
          <w:sz w:val="20"/>
        </w:rPr>
      </w:r>
    </w:p>
    <w:p>
      <w:pPr>
        <w:pStyle w:val="Normal"/>
        <w:rPr>
          <w:sz w:val="20"/>
        </w:rPr>
      </w:pPr>
      <w:r>
        <w:rPr>
          <w:sz w:val="20"/>
        </w:rPr>
      </w:r>
    </w:p>
    <w:p>
      <w:pPr>
        <w:pStyle w:val="Normal"/>
        <w:rPr/>
      </w:pPr>
      <w:r>
        <w:rPr>
          <w:b/>
          <w:bCs/>
          <w:sz w:val="20"/>
          <w:u w:val="single"/>
        </w:rPr>
        <w:t>Receipt &amp; Delivery Point</w:t>
      </w:r>
      <w:r>
        <w:rPr>
          <w:b/>
          <w:bCs/>
          <w:sz w:val="20"/>
        </w:rPr>
        <w:t>:</w:t>
      </w:r>
      <w:r>
        <w:rPr>
          <w:sz w:val="20"/>
        </w:rPr>
        <w:tab/>
        <w:tab/>
        <w:t>Stated above</w:t>
      </w:r>
    </w:p>
    <w:p>
      <w:pPr>
        <w:pStyle w:val="Normal"/>
        <w:rPr>
          <w:sz w:val="20"/>
        </w:rPr>
      </w:pPr>
      <w:r>
        <w:rPr>
          <w:sz w:val="20"/>
        </w:rPr>
      </w:r>
    </w:p>
    <w:p>
      <w:pPr>
        <w:pStyle w:val="Normal"/>
        <w:rPr/>
      </w:pPr>
      <w:r>
        <w:rPr>
          <w:b/>
          <w:bCs/>
          <w:sz w:val="20"/>
          <w:u w:val="single"/>
        </w:rPr>
        <w:t>Recall Rights</w:t>
      </w:r>
      <w:r>
        <w:rPr>
          <w:b/>
          <w:bCs/>
          <w:sz w:val="20"/>
        </w:rPr>
        <w:t>:</w:t>
      </w:r>
      <w:r>
        <w:rPr>
          <w:sz w:val="20"/>
        </w:rPr>
        <w:tab/>
        <w:tab/>
        <w:tab/>
        <w:tab/>
        <w:t>No</w:t>
      </w:r>
    </w:p>
    <w:p>
      <w:pPr>
        <w:pStyle w:val="Normal"/>
        <w:rPr>
          <w:sz w:val="20"/>
        </w:rPr>
      </w:pPr>
      <w:r>
        <w:rPr>
          <w:sz w:val="20"/>
        </w:rPr>
      </w:r>
    </w:p>
    <w:p>
      <w:pPr>
        <w:pStyle w:val="Normal"/>
        <w:rPr/>
      </w:pPr>
      <w:r>
        <w:rPr>
          <w:b/>
          <w:bCs/>
          <w:sz w:val="20"/>
          <w:u w:val="single"/>
        </w:rPr>
        <w:t>Assignee</w:t>
      </w:r>
      <w:r>
        <w:rPr>
          <w:b/>
          <w:bCs/>
          <w:sz w:val="20"/>
        </w:rPr>
        <w:t>:</w:t>
        <w:tab/>
        <w:tab/>
        <w:tab/>
        <w:tab/>
      </w:r>
      <w:r>
        <w:rPr>
          <w:sz w:val="20"/>
        </w:rPr>
        <w:t>PNM</w:t>
      </w:r>
    </w:p>
    <w:p>
      <w:pPr>
        <w:pStyle w:val="Normal"/>
        <w:rPr>
          <w:sz w:val="20"/>
        </w:rPr>
      </w:pPr>
      <w:r>
        <w:rPr>
          <w:sz w:val="20"/>
        </w:rPr>
      </w:r>
    </w:p>
    <w:p>
      <w:pPr>
        <w:pStyle w:val="Normal"/>
        <w:jc w:val="both"/>
        <w:rPr/>
      </w:pPr>
      <w:r>
        <w:rPr>
          <w:b/>
          <w:bCs/>
          <w:sz w:val="20"/>
          <w:u w:val="single"/>
        </w:rPr>
        <w:t>Assignor</w:t>
      </w:r>
      <w:r>
        <w:rPr>
          <w:b/>
          <w:bCs/>
          <w:sz w:val="20"/>
        </w:rPr>
        <w:t>:</w:t>
      </w:r>
      <w:r>
        <w:rPr>
          <w:sz w:val="20"/>
        </w:rPr>
        <w:tab/>
        <w:tab/>
        <w:tab/>
        <w:tab/>
        <w:t>ENA</w:t>
      </w:r>
    </w:p>
    <w:p>
      <w:pPr>
        <w:pStyle w:val="Heading6"/>
        <w:ind w:hanging="0" w:start="0"/>
        <w:rPr>
          <w:b w:val="false"/>
          <w:bCs w:val="false"/>
          <w:sz w:val="20"/>
          <w:u w:val="none"/>
        </w:rPr>
      </w:pPr>
      <w:r>
        <w:rPr>
          <w:b w:val="false"/>
          <w:bCs w:val="false"/>
          <w:sz w:val="20"/>
          <w:u w:val="none"/>
        </w:rPr>
      </w:r>
    </w:p>
    <w:p>
      <w:pPr>
        <w:pStyle w:val="Heading6"/>
        <w:ind w:hanging="0" w:start="0"/>
        <w:rPr/>
      </w:pPr>
      <w:r>
        <w:rPr>
          <w:sz w:val="20"/>
        </w:rPr>
        <w:t>Transfer Fee</w:t>
      </w:r>
      <w:r>
        <w:rPr>
          <w:sz w:val="20"/>
          <w:u w:val="none"/>
        </w:rPr>
        <w:t>:</w:t>
      </w:r>
      <w:r>
        <w:rPr>
          <w:b w:val="false"/>
          <w:bCs w:val="false"/>
          <w:sz w:val="20"/>
          <w:u w:val="none"/>
        </w:rPr>
        <w:tab/>
        <w:tab/>
        <w:tab/>
        <w:tab/>
        <w:t>None</w:t>
      </w:r>
    </w:p>
    <w:p>
      <w:pPr>
        <w:pStyle w:val="Normal"/>
        <w:jc w:val="both"/>
        <w:rPr>
          <w:b/>
          <w:bCs/>
          <w:sz w:val="20"/>
          <w:u w:val="none"/>
        </w:rPr>
      </w:pPr>
      <w:r>
        <w:rPr>
          <w:b/>
          <w:bCs/>
          <w:sz w:val="20"/>
          <w:u w:val="none"/>
        </w:rPr>
      </w:r>
    </w:p>
    <w:p>
      <w:pPr>
        <w:pStyle w:val="Normal"/>
        <w:ind w:hanging="3600" w:start="3600" w:end="0"/>
        <w:jc w:val="both"/>
        <w:rPr/>
      </w:pPr>
      <w:r>
        <w:rPr>
          <w:b/>
          <w:bCs/>
          <w:sz w:val="20"/>
          <w:u w:val="single"/>
        </w:rPr>
        <w:t>Renewal Rights</w:t>
      </w:r>
      <w:r>
        <w:rPr>
          <w:b/>
          <w:bCs/>
          <w:sz w:val="20"/>
        </w:rPr>
        <w:t>:</w:t>
      </w:r>
      <w:r>
        <w:rPr>
          <w:sz w:val="20"/>
        </w:rPr>
        <w:tab/>
        <w:t>ENA shall permanently assign capacity including all applicable renewal rights as available by EPNG.</w:t>
      </w:r>
    </w:p>
    <w:p>
      <w:pPr>
        <w:pStyle w:val="Normal"/>
        <w:jc w:val="both"/>
        <w:rPr>
          <w:sz w:val="20"/>
        </w:rPr>
      </w:pPr>
      <w:r>
        <w:rPr>
          <w:sz w:val="20"/>
        </w:rPr>
      </w:r>
    </w:p>
    <w:p>
      <w:pPr>
        <w:pStyle w:val="Normal"/>
        <w:ind w:hanging="3600" w:start="3600" w:end="0"/>
        <w:jc w:val="both"/>
        <w:rPr/>
      </w:pPr>
      <w:r>
        <w:rPr>
          <w:b/>
          <w:bCs/>
          <w:sz w:val="20"/>
          <w:u w:val="single"/>
        </w:rPr>
        <w:t>Conditions Precedent</w:t>
      </w:r>
      <w:r>
        <w:rPr>
          <w:b/>
          <w:bCs/>
          <w:sz w:val="20"/>
        </w:rPr>
        <w:t>:</w:t>
      </w:r>
      <w:r>
        <w:rPr>
          <w:sz w:val="20"/>
        </w:rPr>
        <w:tab/>
        <w:t>(a) EPNG shall confirm that PNM satisfies the necessary creditworthiness requirements for the purposes of permitting the transfer of the Assigned Capacity to PNM.</w:t>
      </w:r>
    </w:p>
    <w:p>
      <w:pPr>
        <w:pStyle w:val="Normal"/>
        <w:ind w:start="3600" w:end="0"/>
        <w:jc w:val="both"/>
        <w:rPr>
          <w:sz w:val="20"/>
        </w:rPr>
      </w:pPr>
      <w:r>
        <w:rPr>
          <w:sz w:val="20"/>
        </w:rPr>
      </w:r>
    </w:p>
    <w:p>
      <w:pPr>
        <w:pStyle w:val="Normal"/>
        <w:ind w:start="3600" w:end="0"/>
        <w:jc w:val="both"/>
        <w:rPr>
          <w:sz w:val="20"/>
        </w:rPr>
      </w:pPr>
      <w:r>
        <w:rPr>
          <w:sz w:val="20"/>
        </w:rPr>
        <w:t>(b) PNM shall provide all necessary documentation and credit covenants as required by EPNG.</w:t>
      </w:r>
    </w:p>
    <w:p>
      <w:pPr>
        <w:pStyle w:val="Normal"/>
        <w:ind w:start="3600" w:end="0"/>
        <w:jc w:val="both"/>
        <w:rPr>
          <w:sz w:val="20"/>
        </w:rPr>
      </w:pPr>
      <w:r>
        <w:rPr>
          <w:sz w:val="20"/>
        </w:rPr>
      </w:r>
    </w:p>
    <w:p>
      <w:pPr>
        <w:pStyle w:val="Normal"/>
        <w:ind w:start="3600" w:end="0"/>
        <w:jc w:val="both"/>
        <w:rPr>
          <w:sz w:val="20"/>
        </w:rPr>
      </w:pPr>
      <w:r>
        <w:rPr>
          <w:sz w:val="20"/>
        </w:rPr>
        <w:t>(c) ENA shall be released unconditionally from any obligations once the permanent assignment documentation has been facilitated.</w:t>
      </w:r>
    </w:p>
    <w:p>
      <w:pPr>
        <w:pStyle w:val="Normal"/>
        <w:jc w:val="both"/>
        <w:rPr>
          <w:sz w:val="20"/>
        </w:rPr>
      </w:pPr>
      <w:r>
        <w:rPr>
          <w:sz w:val="20"/>
        </w:rPr>
      </w:r>
    </w:p>
    <w:p>
      <w:pPr>
        <w:pStyle w:val="Normal"/>
        <w:ind w:hanging="3600" w:start="3600" w:end="0"/>
        <w:jc w:val="both"/>
        <w:rPr/>
      </w:pPr>
      <w:r>
        <w:rPr>
          <w:b/>
          <w:bCs/>
          <w:sz w:val="20"/>
          <w:u w:val="single"/>
        </w:rPr>
        <w:t>Other:</w:t>
      </w:r>
      <w:r>
        <w:rPr>
          <w:sz w:val="20"/>
        </w:rPr>
        <w:tab/>
        <w:t>It is the Assignee’s responsibility to request and coordinate changes to the primary delivery point(s). ENA makes no representation regarding the ability to make any changes and all questions should be directed to EPNG.</w:t>
      </w:r>
    </w:p>
    <w:p>
      <w:pPr>
        <w:pStyle w:val="Normal"/>
        <w:ind w:start="3600" w:end="0"/>
        <w:jc w:val="both"/>
        <w:rPr>
          <w:sz w:val="20"/>
        </w:rPr>
      </w:pPr>
      <w:r>
        <w:rPr>
          <w:sz w:val="20"/>
        </w:rPr>
        <w:tab/>
        <w:tab/>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ind w:start="3600" w:end="0"/>
        <w:jc w:val="both"/>
        <w:rPr>
          <w:sz w:val="20"/>
        </w:rPr>
      </w:pPr>
      <w:r>
        <w:rPr>
          <w:sz w:val="20"/>
        </w:rPr>
      </w:r>
    </w:p>
    <w:p>
      <w:pPr>
        <w:pStyle w:val="Normal"/>
        <w:jc w:val="both"/>
        <w:rPr>
          <w:sz w:val="20"/>
        </w:rPr>
      </w:pPr>
      <w:r>
        <w:rPr>
          <w:sz w:val="20"/>
        </w:rPr>
        <w:tab/>
        <w:tab/>
      </w:r>
    </w:p>
    <w:sectPr>
      <w:headerReference w:type="default" r:id="rId4"/>
      <w:headerReference w:type="first" r:id="rId5"/>
      <w:type w:val="nextPage"/>
      <w:pgSz w:w="12240" w:h="15840"/>
      <w:pgMar w:left="1440" w:right="1440" w:gutter="0" w:header="72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4320" w:leader="none"/>
      </w:tabs>
      <w:jc w:val="center"/>
      <w:outlineLvl w:val="3"/>
    </w:pPr>
    <w:rPr>
      <w:sz w:val="22"/>
    </w:rPr>
  </w:style>
  <w:style w:type="paragraph" w:styleId="Heading5">
    <w:name w:val="heading 5"/>
    <w:basedOn w:val="Normal"/>
    <w:next w:val="Normal"/>
    <w:qFormat/>
    <w:pPr>
      <w:keepNext w:val="true"/>
      <w:numPr>
        <w:ilvl w:val="4"/>
        <w:numId w:val="1"/>
      </w:numPr>
      <w:tabs>
        <w:tab w:val="clear" w:pos="720"/>
        <w:tab w:val="left" w:pos="4320" w:leader="none"/>
      </w:tabs>
      <w:jc w:val="both"/>
      <w:outlineLvl w:val="4"/>
    </w:pPr>
    <w:rPr>
      <w:sz w:val="22"/>
    </w:rPr>
  </w:style>
  <w:style w:type="paragraph" w:styleId="Heading6">
    <w:name w:val="heading 6"/>
    <w:basedOn w:val="Normal"/>
    <w:next w:val="Normal"/>
    <w:qFormat/>
    <w:pPr>
      <w:keepNext w:val="true"/>
      <w:numPr>
        <w:ilvl w:val="5"/>
        <w:numId w:val="1"/>
      </w:numPr>
      <w:jc w:val="both"/>
      <w:outlineLvl w:val="5"/>
    </w:pPr>
    <w:rPr>
      <w:b/>
      <w:bCs/>
      <w:sz w:val="22"/>
      <w:u w:val="single"/>
    </w:rPr>
  </w:style>
  <w:style w:type="paragraph" w:styleId="Heading7">
    <w:name w:val="heading 7"/>
    <w:basedOn w:val="Normal"/>
    <w:next w:val="Normal"/>
    <w:qFormat/>
    <w:pPr>
      <w:keepNext w:val="true"/>
      <w:numPr>
        <w:ilvl w:val="6"/>
        <w:numId w:val="1"/>
      </w:numPr>
      <w:jc w:val="center"/>
      <w:outlineLvl w:val="6"/>
    </w:pPr>
    <w:rPr>
      <w:b/>
      <w:bCs/>
      <w:sz w:val="28"/>
    </w:rPr>
  </w:style>
  <w:style w:type="paragraph" w:styleId="Heading8">
    <w:name w:val="heading 8"/>
    <w:basedOn w:val="Normal"/>
    <w:next w:val="Normal"/>
    <w:qFormat/>
    <w:pPr>
      <w:keepNext w:val="true"/>
      <w:numPr>
        <w:ilvl w:val="7"/>
        <w:numId w:val="1"/>
      </w:numPr>
      <w:outlineLvl w:val="7"/>
    </w:pPr>
    <w:rPr>
      <w:b/>
      <w:bCs/>
      <w:u w:val="single"/>
    </w:rPr>
  </w:style>
  <w:style w:type="paragraph" w:styleId="Heading9">
    <w:name w:val="heading 9"/>
    <w:basedOn w:val="Normal"/>
    <w:next w:val="Normal"/>
    <w:qFormat/>
    <w:pPr>
      <w:keepNext w:val="true"/>
      <w:numPr>
        <w:ilvl w:val="8"/>
        <w:numId w:val="1"/>
      </w:numPr>
      <w:outlineLvl w:val="8"/>
    </w:pPr>
    <w:rPr>
      <w:b/>
      <w:bCs/>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bCs/>
      <w:u w:val="single"/>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paragraph" w:styleId="BodyTextIndent3">
    <w:name w:val="Body Text Indent 3"/>
    <w:basedOn w:val="Normal"/>
    <w:qFormat/>
    <w:pPr>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2001-08-02T18:02:00Z</dcterms:created>
  <dc:creator>Shonnie Daniel</dc:creator>
  <dc:description/>
  <cp:keywords>CARMICHAEL FIELD 4" P/L</cp:keywords>
  <dc:language>en-CA</dc:language>
  <cp:lastModifiedBy>smiller2</cp:lastModifiedBy>
  <cp:lastPrinted>2001-08-02T15:16:00Z</cp:lastPrinted>
  <dcterms:modified xsi:type="dcterms:W3CDTF">2001-08-02T18:02:00Z</dcterms:modified>
  <cp:revision>2</cp:revision>
  <dc:subject>ONYX GATHERING COMPANY, L.C.</dc:subject>
  <dc:title>LETTER OF UNDERSTANDINDG</dc:title>
</cp:coreProperties>
</file>