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t>Overall Strategy</w:t>
      </w:r>
    </w:p>
    <w:p>
      <w:pPr>
        <w:pStyle w:val="ListBullet21"/>
        <w:numPr>
          <w:ilvl w:val="0"/>
          <w:numId w:val="12"/>
        </w:numPr>
        <w:ind w:hanging="360" w:start="540" w:end="0"/>
        <w:rPr/>
      </w:pPr>
      <w:r>
        <w:rPr/>
        <w:t>Aggressively apply capital resources for market expansion, for responses to challenges from competition, for operations cost improvement, and for maintenance of system integrity.</w:t>
      </w:r>
    </w:p>
    <w:p>
      <w:pPr>
        <w:pStyle w:val="ListBullet21"/>
        <w:numPr>
          <w:ilvl w:val="0"/>
          <w:numId w:val="12"/>
        </w:numPr>
        <w:ind w:hanging="360" w:start="540" w:end="0"/>
        <w:rPr/>
      </w:pPr>
      <w:r>
        <w:rPr/>
        <w:t>Continually re-evaluate asset base for potential acquisitions or divestitures.</w:t>
      </w:r>
    </w:p>
    <w:p>
      <w:pPr>
        <w:pStyle w:val="ListBullet21"/>
        <w:numPr>
          <w:ilvl w:val="0"/>
          <w:numId w:val="12"/>
        </w:numPr>
        <w:ind w:hanging="360" w:start="540" w:end="0"/>
        <w:rPr/>
      </w:pPr>
      <w:r>
        <w:rPr/>
        <w:t>Seek to grow net income by the timely capture of the revenue value attributed by the market to the services it needs and to reduce/manage operating expenses.</w:t>
      </w:r>
    </w:p>
    <w:p>
      <w:pPr>
        <w:pStyle w:val="ListBullet21"/>
        <w:numPr>
          <w:ilvl w:val="0"/>
          <w:numId w:val="12"/>
        </w:numPr>
        <w:ind w:hanging="360" w:start="540" w:end="0"/>
        <w:rPr/>
      </w:pPr>
      <w:r>
        <w:rPr/>
        <w:t>Continue investigation and installation of appropriate Business Analysis tools to optimize structuring of services, utilization of capital assets, and organization of human resources.</w:t>
      </w:r>
    </w:p>
    <w:p>
      <w:pPr>
        <w:pStyle w:val="ListBullet21"/>
        <w:numPr>
          <w:ilvl w:val="0"/>
          <w:numId w:val="12"/>
        </w:numPr>
        <w:ind w:hanging="360" w:start="540" w:end="0"/>
        <w:rPr/>
      </w:pPr>
      <w:r>
        <w:rPr/>
        <w:t>Effectively manage regulatory processes to maximize profit potential of available resources.</w:t>
      </w:r>
    </w:p>
    <w:p>
      <w:pPr>
        <w:pStyle w:val="ListBullet21"/>
        <w:tabs>
          <w:tab w:val="clear" w:pos="540"/>
          <w:tab w:val="left" w:pos="360" w:leader="none"/>
        </w:tabs>
        <w:ind w:hanging="360" w:end="0"/>
        <w:rPr/>
      </w:pPr>
      <w:r>
        <w:rPr/>
      </w:r>
    </w:p>
    <w:p>
      <w:pPr>
        <w:pStyle w:val="ListBullet21"/>
        <w:rPr/>
      </w:pPr>
      <w:r>
        <w:rPr/>
      </w:r>
    </w:p>
    <w:p>
      <w:pPr>
        <w:pStyle w:val="ListBullet21"/>
        <w:rPr>
          <w:sz w:val="28"/>
        </w:rPr>
      </w:pPr>
      <w:r>
        <w:rPr>
          <w:sz w:val="28"/>
        </w:rPr>
        <w:t>Focus Areas</w:t>
      </w:r>
    </w:p>
    <w:p>
      <w:pPr>
        <w:pStyle w:val="ListBullet21"/>
        <w:rPr>
          <w:sz w:val="28"/>
        </w:rPr>
      </w:pPr>
      <w:r>
        <w:rPr>
          <w:sz w:val="28"/>
        </w:rPr>
      </w:r>
    </w:p>
    <w:p>
      <w:pPr>
        <w:pStyle w:val="ListBullet21"/>
        <w:numPr>
          <w:ilvl w:val="0"/>
          <w:numId w:val="5"/>
        </w:numPr>
        <w:ind w:hanging="540" w:start="540" w:end="0"/>
        <w:rPr/>
      </w:pPr>
      <w:r>
        <w:rPr/>
        <w:t>Capture opportunities in light of continuing changes in North American gas flows and new markets for natural gas.  Protect current markets and capture end-users in potential markets capable of by-pass.</w:t>
      </w:r>
    </w:p>
    <w:p>
      <w:pPr>
        <w:pStyle w:val="ListBullet21"/>
        <w:numPr>
          <w:ilvl w:val="0"/>
          <w:numId w:val="17"/>
        </w:numPr>
        <w:tabs>
          <w:tab w:val="clear" w:pos="540"/>
        </w:tabs>
        <w:ind w:hanging="360" w:start="900" w:end="0"/>
        <w:rPr>
          <w:b w:val="false"/>
          <w:sz w:val="22"/>
        </w:rPr>
      </w:pPr>
      <w:r>
        <w:rPr>
          <w:b w:val="false"/>
          <w:sz w:val="22"/>
        </w:rPr>
        <w:t>Continue development of traditional markets.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Peak Day 2000 Phases III – V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Gallup Expansion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Develop services to provide incremental peak shaving or to utilize existing customer peak shaving to serve other customers.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Develop and evaluate new expansion/extension alternatives (Peak Day 2002, San Juan – Phase IV).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Pursue resolution of Carlton including potential build-out.</w:t>
      </w:r>
    </w:p>
    <w:p>
      <w:pPr>
        <w:pStyle w:val="ListBullet21"/>
        <w:numPr>
          <w:ilvl w:val="0"/>
          <w:numId w:val="17"/>
        </w:numPr>
        <w:tabs>
          <w:tab w:val="clear" w:pos="540"/>
        </w:tabs>
        <w:ind w:hanging="360" w:start="900" w:end="0"/>
        <w:rPr>
          <w:b w:val="false"/>
          <w:sz w:val="22"/>
        </w:rPr>
      </w:pPr>
      <w:r>
        <w:rPr>
          <w:b w:val="false"/>
          <w:sz w:val="22"/>
        </w:rPr>
        <w:t>Increase emphasis on power plant and end-user markets.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Identify power plant opportunities and proposed capital projects.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Identify new end-users and potentials for enhanced services to existing end-users.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Serve end-users directly where traditional contracts are being terminated or converted to short-term service.</w:t>
      </w:r>
    </w:p>
    <w:p>
      <w:pPr>
        <w:pStyle w:val="ListBullet21"/>
        <w:numPr>
          <w:ilvl w:val="0"/>
          <w:numId w:val="17"/>
        </w:numPr>
        <w:tabs>
          <w:tab w:val="clear" w:pos="540"/>
        </w:tabs>
        <w:ind w:hanging="360" w:start="900" w:end="0"/>
        <w:rPr>
          <w:b w:val="false"/>
          <w:sz w:val="22"/>
        </w:rPr>
      </w:pPr>
      <w:r>
        <w:rPr>
          <w:b w:val="false"/>
          <w:sz w:val="22"/>
        </w:rPr>
        <w:t>Prepare for anticipated changes from 2001 gas flow projections.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Increased Canadian volumes to and through NNG’s primary market.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Increased flows west to California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Potential impacts to Texas flow east as Louisiana Gulf flows increase</w:t>
      </w:r>
    </w:p>
    <w:p>
      <w:pPr>
        <w:pStyle w:val="ListBullet21"/>
        <w:numPr>
          <w:ilvl w:val="0"/>
          <w:numId w:val="17"/>
        </w:numPr>
        <w:tabs>
          <w:tab w:val="clear" w:pos="540"/>
        </w:tabs>
        <w:ind w:hanging="360" w:start="900" w:end="0"/>
        <w:rPr>
          <w:b w:val="false"/>
          <w:sz w:val="22"/>
        </w:rPr>
      </w:pPr>
      <w:r>
        <w:rPr>
          <w:b w:val="false"/>
          <w:sz w:val="22"/>
        </w:rPr>
        <w:t>Define options to respond to: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Potential by-pass in NNG’s primary market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Significant changes in both threats and opportunities in Wisconsin, Illinois, and Iowa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Potential “back-up” of the Viking system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Continued peak day growth in all market areas</w:t>
      </w:r>
    </w:p>
    <w:p>
      <w:pPr>
        <w:pStyle w:val="ListBullet21"/>
        <w:numPr>
          <w:ilvl w:val="0"/>
          <w:numId w:val="4"/>
        </w:numPr>
        <w:tabs>
          <w:tab w:val="clear" w:pos="540"/>
          <w:tab w:val="left" w:pos="1260" w:leader="none"/>
        </w:tabs>
        <w:ind w:hanging="360" w:start="1260" w:end="0"/>
        <w:rPr>
          <w:b w:val="false"/>
          <w:sz w:val="22"/>
        </w:rPr>
      </w:pPr>
      <w:r>
        <w:rPr>
          <w:b w:val="false"/>
          <w:sz w:val="22"/>
        </w:rPr>
        <w:t>Development of distributed power generation plants.</w:t>
      </w:r>
      <w:r>
        <w:br w:type="page"/>
      </w:r>
    </w:p>
    <w:p>
      <w:pPr>
        <w:pStyle w:val="ListBullet21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ListBullet21"/>
        <w:numPr>
          <w:ilvl w:val="0"/>
          <w:numId w:val="5"/>
        </w:numPr>
        <w:ind w:hanging="540" w:start="540" w:end="0"/>
        <w:rPr>
          <w:sz w:val="22"/>
        </w:rPr>
      </w:pPr>
      <w:r>
        <w:rPr/>
        <w:t>Re-evaluate NNG’s south-end asset operation to identify candidates for swap/sale.  Avoid stranded assets due to changing markets and Canadian gas flows.</w:t>
      </w:r>
    </w:p>
    <w:p>
      <w:pPr>
        <w:pStyle w:val="ListBullet21"/>
        <w:numPr>
          <w:ilvl w:val="0"/>
          <w:numId w:val="11"/>
        </w:numPr>
        <w:tabs>
          <w:tab w:val="clear" w:pos="540"/>
          <w:tab w:val="left" w:pos="900" w:leader="none"/>
        </w:tabs>
        <w:ind w:hanging="360" w:start="900" w:end="0"/>
        <w:rPr>
          <w:sz w:val="22"/>
        </w:rPr>
      </w:pPr>
      <w:r>
        <w:rPr>
          <w:b w:val="false"/>
          <w:sz w:val="22"/>
        </w:rPr>
        <w:t>Define options to respond to:</w:t>
      </w:r>
    </w:p>
    <w:p>
      <w:pPr>
        <w:pStyle w:val="ListBullet21"/>
        <w:numPr>
          <w:ilvl w:val="0"/>
          <w:numId w:val="14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Potential seasonal north-to-south flow on NNG</w:t>
      </w:r>
    </w:p>
    <w:p>
      <w:pPr>
        <w:pStyle w:val="ListBullet21"/>
        <w:numPr>
          <w:ilvl w:val="0"/>
          <w:numId w:val="14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 xml:space="preserve">Development of distributed power generation plants </w:t>
      </w:r>
    </w:p>
    <w:p>
      <w:pPr>
        <w:pStyle w:val="ListBullet21"/>
        <w:numPr>
          <w:ilvl w:val="0"/>
          <w:numId w:val="14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Potential for additional TW traditional west volumes to California markets</w:t>
      </w:r>
    </w:p>
    <w:p>
      <w:pPr>
        <w:pStyle w:val="ListBullet21"/>
        <w:numPr>
          <w:ilvl w:val="0"/>
          <w:numId w:val="14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Change in Texas intrastate market/supply mix</w:t>
      </w:r>
    </w:p>
    <w:p>
      <w:pPr>
        <w:pStyle w:val="ListBullet21"/>
        <w:numPr>
          <w:ilvl w:val="0"/>
          <w:numId w:val="14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Transwestern right-of-way issues.</w:t>
      </w:r>
    </w:p>
    <w:p>
      <w:pPr>
        <w:pStyle w:val="ListBullet21"/>
        <w:numPr>
          <w:ilvl w:val="0"/>
          <w:numId w:val="11"/>
        </w:numPr>
        <w:tabs>
          <w:tab w:val="clear" w:pos="540"/>
          <w:tab w:val="left" w:pos="900" w:leader="none"/>
        </w:tabs>
        <w:ind w:hanging="360" w:start="900" w:end="0"/>
        <w:rPr>
          <w:sz w:val="22"/>
        </w:rPr>
      </w:pPr>
      <w:r>
        <w:rPr>
          <w:b w:val="false"/>
          <w:sz w:val="22"/>
        </w:rPr>
        <w:t>Continually review pipeline system for appropriate abandonment or retirement actions.</w:t>
      </w:r>
    </w:p>
    <w:p>
      <w:pPr>
        <w:pStyle w:val="ListBullet21"/>
        <w:numPr>
          <w:ilvl w:val="0"/>
          <w:numId w:val="13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Changes needed to align with entitlement reshaping as customers shift from annual to seasonal entitlements</w:t>
      </w:r>
    </w:p>
    <w:p>
      <w:pPr>
        <w:pStyle w:val="ListBullet21"/>
        <w:numPr>
          <w:ilvl w:val="0"/>
          <w:numId w:val="13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Changes to abandon unused, under-utilized, or obsolete plant</w:t>
      </w:r>
    </w:p>
    <w:p>
      <w:pPr>
        <w:pStyle w:val="ListBullet21"/>
        <w:numPr>
          <w:ilvl w:val="0"/>
          <w:numId w:val="11"/>
        </w:numPr>
        <w:tabs>
          <w:tab w:val="clear" w:pos="540"/>
          <w:tab w:val="left" w:pos="900" w:leader="none"/>
        </w:tabs>
        <w:ind w:hanging="360" w:start="900" w:end="0"/>
        <w:rPr>
          <w:sz w:val="22"/>
        </w:rPr>
      </w:pPr>
      <w:r>
        <w:rPr>
          <w:b w:val="false"/>
          <w:sz w:val="22"/>
        </w:rPr>
        <w:t>Investigate potential for joint NNG/TW ownership of pipeline assets to improve TW supply without adverse impacts to NNG.</w:t>
      </w:r>
    </w:p>
    <w:p>
      <w:pPr>
        <w:pStyle w:val="ListBullet21"/>
        <w:tabs>
          <w:tab w:val="clear" w:pos="540"/>
          <w:tab w:val="left" w:pos="900" w:leader="none"/>
        </w:tabs>
        <w:ind w:hanging="0" w:start="0" w:end="0"/>
        <w:rPr>
          <w:sz w:val="22"/>
        </w:rPr>
      </w:pPr>
      <w:r>
        <w:rPr>
          <w:sz w:val="22"/>
        </w:rPr>
      </w:r>
    </w:p>
    <w:p>
      <w:pPr>
        <w:pStyle w:val="ListBullet21"/>
        <w:numPr>
          <w:ilvl w:val="0"/>
          <w:numId w:val="5"/>
        </w:numPr>
        <w:ind w:hanging="540" w:start="540" w:end="0"/>
        <w:rPr>
          <w:sz w:val="22"/>
        </w:rPr>
      </w:pPr>
      <w:r>
        <w:rPr/>
        <w:t>Significantly improve decision-making tools for pricing of long and short-term capacity and the profitability of individual deals.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Develop a long-term business process based on results of PROS Scoping Project.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Determine the economic viability of proceeding with external system development, and, if justified, develop models and install process.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Investigate and implement segmentation of markets to achieve maximum effectiveness of market development efforts.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Utilize the expertise of external consultation resources—McKinsey and Mercer--to evaluate processes and organization potentials.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Implement results of internal and external process reviews.</w:t>
      </w:r>
    </w:p>
    <w:p>
      <w:pPr>
        <w:pStyle w:val="ListBullet21"/>
        <w:numPr>
          <w:ilvl w:val="0"/>
          <w:numId w:val="16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Introduce outputs to decision processes.</w:t>
      </w:r>
    </w:p>
    <w:p>
      <w:pPr>
        <w:pStyle w:val="ListBullet21"/>
        <w:numPr>
          <w:ilvl w:val="0"/>
          <w:numId w:val="16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Improve cost accounting information and competitive intelligence.</w:t>
      </w:r>
    </w:p>
    <w:p>
      <w:pPr>
        <w:pStyle w:val="ListBullet21"/>
        <w:numPr>
          <w:ilvl w:val="0"/>
          <w:numId w:val="16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Adjust organization to allow effective implementation of the process.</w:t>
      </w:r>
    </w:p>
    <w:p>
      <w:pPr>
        <w:pStyle w:val="ListBullet21"/>
        <w:tabs>
          <w:tab w:val="clear" w:pos="540"/>
        </w:tabs>
        <w:rPr>
          <w:sz w:val="22"/>
        </w:rPr>
      </w:pPr>
      <w:r>
        <w:rPr>
          <w:sz w:val="22"/>
        </w:rPr>
      </w:r>
    </w:p>
    <w:p>
      <w:pPr>
        <w:pStyle w:val="ListBullet21"/>
        <w:numPr>
          <w:ilvl w:val="0"/>
          <w:numId w:val="5"/>
        </w:numPr>
        <w:ind w:hanging="540" w:start="540" w:end="0"/>
        <w:rPr/>
      </w:pPr>
      <w:r>
        <w:rPr/>
        <w:t>Restructure services to recognize seasonal value and costs and to increase the value of short-term services.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Continue development of internal resources directed to Business Analysis.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Determine market impacts and implications to service structure from Business Analysis and Revenue Management processes and follow up with changes including tariff modifications.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Continue to improve service mix – hourly services, additional balancing services, etc.</w:t>
      </w:r>
    </w:p>
    <w:p>
      <w:pPr>
        <w:pStyle w:val="ListBullet21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ListBullet21"/>
        <w:numPr>
          <w:ilvl w:val="0"/>
          <w:numId w:val="5"/>
        </w:numPr>
        <w:ind w:hanging="540" w:start="540" w:end="0"/>
        <w:rPr/>
      </w:pPr>
      <w:r>
        <w:rPr/>
        <w:t>Significantly improve ability to optimize system operations to create capacity, to conserve fuel, and to reduce unaccounted-for gas.  Hold the line on O&amp;M.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Pursue projects that result in O&amp;M savings or increased saleable capacity.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Continue to use DD&amp;A for continued pipeline system enhancements, reliability, optimization projects.</w:t>
      </w:r>
    </w:p>
    <w:p>
      <w:pPr>
        <w:pStyle w:val="ListBullet21"/>
        <w:numPr>
          <w:ilvl w:val="0"/>
          <w:numId w:val="15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Overhauls, retrofits, and preventive maintenance of compressors using data from new monitoring systems.</w:t>
      </w:r>
    </w:p>
    <w:p>
      <w:pPr>
        <w:pStyle w:val="ListBullet21"/>
        <w:numPr>
          <w:ilvl w:val="0"/>
          <w:numId w:val="15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Pipeline safety projects.</w:t>
      </w:r>
    </w:p>
    <w:p>
      <w:pPr>
        <w:pStyle w:val="ListBullet21"/>
        <w:numPr>
          <w:ilvl w:val="0"/>
          <w:numId w:val="15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Environmental or other “compliance” type projects.</w:t>
      </w:r>
      <w:r>
        <w:br w:type="page"/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Continue emphasis on fuel/UAF.</w:t>
      </w:r>
    </w:p>
    <w:p>
      <w:pPr>
        <w:pStyle w:val="ListBullet21"/>
        <w:numPr>
          <w:ilvl w:val="0"/>
          <w:numId w:val="18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Improve real-time fuel consumption information for system optimization and revenue management processes.</w:t>
      </w:r>
    </w:p>
    <w:p>
      <w:pPr>
        <w:pStyle w:val="ListBullet21"/>
        <w:numPr>
          <w:ilvl w:val="0"/>
          <w:numId w:val="18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Continue improvement of system segmentation and measurement data to identify UAF problems on a continuous basis.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Focus on and utilize net income vs. revenue goals in planning, major decision situations, and individual decision making.</w:t>
      </w:r>
    </w:p>
    <w:p>
      <w:pPr>
        <w:pStyle w:val="ListBullet21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ListBullet21"/>
        <w:numPr>
          <w:ilvl w:val="0"/>
          <w:numId w:val="5"/>
        </w:numPr>
        <w:ind w:hanging="540" w:start="540" w:end="0"/>
        <w:rPr/>
      </w:pPr>
      <w:r>
        <w:rPr/>
        <w:t>Pursue identification, evaluation and possible implementation of viable acquisition, alliance, or joint venture opportunities.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Develop a process to accumulate and record potential candidates.</w:t>
      </w:r>
    </w:p>
    <w:p>
      <w:pPr>
        <w:pStyle w:val="ListBullet21"/>
        <w:numPr>
          <w:ilvl w:val="0"/>
          <w:numId w:val="7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Officer and employee inputs</w:t>
      </w:r>
    </w:p>
    <w:p>
      <w:pPr>
        <w:pStyle w:val="ListBullet21"/>
        <w:numPr>
          <w:ilvl w:val="0"/>
          <w:numId w:val="7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External sources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Evaluate potential opportunities.</w:t>
      </w:r>
    </w:p>
    <w:p>
      <w:pPr>
        <w:pStyle w:val="ListBullet21"/>
        <w:numPr>
          <w:ilvl w:val="0"/>
          <w:numId w:val="8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Inherent profitability</w:t>
      </w:r>
    </w:p>
    <w:p>
      <w:pPr>
        <w:pStyle w:val="ListBullet21"/>
        <w:numPr>
          <w:ilvl w:val="0"/>
          <w:numId w:val="8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Relationships to existing business and to Business and Financial Plans</w:t>
      </w:r>
    </w:p>
    <w:p>
      <w:pPr>
        <w:pStyle w:val="ListBullet21"/>
        <w:numPr>
          <w:ilvl w:val="0"/>
          <w:numId w:val="8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Ranking between opportunities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Follow up with management directives on selected opportunities.</w:t>
      </w:r>
    </w:p>
    <w:p>
      <w:pPr>
        <w:pStyle w:val="ListBullet21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ListBullet21"/>
        <w:numPr>
          <w:ilvl w:val="0"/>
          <w:numId w:val="5"/>
        </w:numPr>
        <w:tabs>
          <w:tab w:val="left" w:pos="540" w:leader="none"/>
          <w:tab w:val="left" w:pos="734" w:leader="none"/>
        </w:tabs>
        <w:ind w:hanging="720" w:start="734" w:end="0"/>
        <w:rPr/>
      </w:pPr>
      <w:r>
        <w:rPr/>
        <w:t>Manage regulatory processes.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Capture seasonal value of services.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Evaluate results of NNG Rate Case settlement in relationship to strategy.</w:t>
      </w:r>
    </w:p>
    <w:p>
      <w:pPr>
        <w:pStyle w:val="ListBullet21"/>
        <w:numPr>
          <w:ilvl w:val="0"/>
          <w:numId w:val="10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Impacts on capacity release transactions</w:t>
      </w:r>
    </w:p>
    <w:p>
      <w:pPr>
        <w:pStyle w:val="ListBullet21"/>
        <w:numPr>
          <w:ilvl w:val="0"/>
          <w:numId w:val="10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Additional residual issues</w:t>
      </w:r>
    </w:p>
    <w:p>
      <w:pPr>
        <w:pStyle w:val="ListBullet21"/>
        <w:numPr>
          <w:ilvl w:val="0"/>
          <w:numId w:val="10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Identification of areas for active pursuit prior to next rate case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Investigate and implement any potential rate actions on TW.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Maintain presence and influence in regulatory reform processes.</w:t>
      </w:r>
    </w:p>
    <w:p>
      <w:pPr>
        <w:pStyle w:val="ListBullet21"/>
        <w:numPr>
          <w:ilvl w:val="0"/>
          <w:numId w:val="2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Continued participation in industry restructuring proceedings, e.g., Dockets RM98-09, RM98-10, RM98-12, RM98-16, and RM98-17.</w:t>
      </w:r>
    </w:p>
    <w:p>
      <w:pPr>
        <w:pStyle w:val="ListBullet21"/>
        <w:numPr>
          <w:ilvl w:val="0"/>
          <w:numId w:val="2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Interface with Enron activities in conjunction with INGAA and AGA.</w:t>
      </w:r>
    </w:p>
    <w:p>
      <w:pPr>
        <w:pStyle w:val="ListBullet21"/>
        <w:numPr>
          <w:ilvl w:val="0"/>
          <w:numId w:val="2"/>
        </w:numPr>
        <w:tabs>
          <w:tab w:val="clear" w:pos="540"/>
          <w:tab w:val="left" w:pos="1260" w:leader="none"/>
        </w:tabs>
        <w:ind w:hanging="360" w:start="1260" w:end="0"/>
        <w:rPr>
          <w:sz w:val="22"/>
        </w:rPr>
      </w:pPr>
      <w:r>
        <w:rPr>
          <w:b w:val="false"/>
          <w:sz w:val="22"/>
        </w:rPr>
        <w:t>Active evaluation of LDC unbundling activity and development of regulatory responses.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Stay abreast of changes in the consumer environment and be prepared to respond to changes in business practices resulting form LDC unbundling and NOPR/NOI activities.</w:t>
      </w:r>
    </w:p>
    <w:p>
      <w:pPr>
        <w:pStyle w:val="ListBullet21"/>
        <w:ind w:hanging="0" w:start="0" w:end="0"/>
        <w:rPr>
          <w:sz w:val="22"/>
        </w:rPr>
      </w:pPr>
      <w:r>
        <w:rPr>
          <w:sz w:val="22"/>
        </w:rPr>
      </w:r>
    </w:p>
    <w:p>
      <w:pPr>
        <w:pStyle w:val="ListBullet21"/>
        <w:numPr>
          <w:ilvl w:val="0"/>
          <w:numId w:val="5"/>
        </w:numPr>
        <w:tabs>
          <w:tab w:val="left" w:pos="540" w:leader="none"/>
          <w:tab w:val="left" w:pos="734" w:leader="none"/>
        </w:tabs>
        <w:ind w:hanging="720" w:start="734" w:end="0"/>
        <w:rPr/>
      </w:pPr>
      <w:r>
        <w:rPr/>
        <w:t>Improve customer service to solidify customer loyalty.</w:t>
        <w:tab/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Pursue customer service enhancements.</w:t>
      </w:r>
    </w:p>
    <w:p>
      <w:pPr>
        <w:pStyle w:val="ListBullet21"/>
        <w:numPr>
          <w:ilvl w:val="0"/>
          <w:numId w:val="6"/>
        </w:numPr>
        <w:tabs>
          <w:tab w:val="clear" w:pos="540"/>
          <w:tab w:val="left" w:pos="1080" w:leader="none"/>
        </w:tabs>
        <w:ind w:hanging="360" w:start="1080" w:end="0"/>
        <w:rPr>
          <w:sz w:val="22"/>
        </w:rPr>
      </w:pPr>
      <w:r>
        <w:rPr>
          <w:b w:val="false"/>
          <w:sz w:val="22"/>
        </w:rPr>
        <w:t>Continue Customer Survey process including responses to specific issues, benchmarking of improvements, and development of follow-up surveys.</w:t>
      </w:r>
    </w:p>
    <w:p>
      <w:pPr>
        <w:pStyle w:val="ListBullet21"/>
        <w:numPr>
          <w:ilvl w:val="0"/>
          <w:numId w:val="6"/>
        </w:numPr>
        <w:tabs>
          <w:tab w:val="clear" w:pos="540"/>
          <w:tab w:val="left" w:pos="1080" w:leader="none"/>
        </w:tabs>
        <w:ind w:hanging="360" w:start="1080" w:end="0"/>
        <w:rPr>
          <w:sz w:val="22"/>
        </w:rPr>
      </w:pPr>
      <w:r>
        <w:rPr>
          <w:b w:val="false"/>
          <w:sz w:val="22"/>
        </w:rPr>
        <w:t>Improve back-room systems – potential for Internet contracting, etc.</w:t>
      </w:r>
    </w:p>
    <w:p>
      <w:pPr>
        <w:pStyle w:val="ListBullet21"/>
        <w:numPr>
          <w:ilvl w:val="0"/>
          <w:numId w:val="6"/>
        </w:numPr>
        <w:tabs>
          <w:tab w:val="clear" w:pos="540"/>
          <w:tab w:val="left" w:pos="1080" w:leader="none"/>
        </w:tabs>
        <w:ind w:hanging="360" w:start="1080" w:end="0"/>
        <w:rPr>
          <w:sz w:val="22"/>
        </w:rPr>
      </w:pPr>
      <w:r>
        <w:rPr>
          <w:b w:val="false"/>
          <w:sz w:val="22"/>
        </w:rPr>
        <w:t>Improve customer access to real time measurement, pressure, and quality information.</w:t>
      </w:r>
    </w:p>
    <w:p>
      <w:pPr>
        <w:pStyle w:val="ListBullet21"/>
        <w:numPr>
          <w:ilvl w:val="0"/>
          <w:numId w:val="3"/>
        </w:numPr>
        <w:tabs>
          <w:tab w:val="clear" w:pos="540"/>
        </w:tabs>
        <w:ind w:hanging="360" w:start="900" w:end="0"/>
        <w:rPr>
          <w:sz w:val="22"/>
        </w:rPr>
      </w:pPr>
      <w:r>
        <w:rPr>
          <w:b w:val="false"/>
          <w:sz w:val="22"/>
        </w:rPr>
        <w:t>Enhance training opportunities for all levels of employees.</w:t>
      </w:r>
    </w:p>
    <w:p>
      <w:pPr>
        <w:pStyle w:val="ListBullet21"/>
        <w:numPr>
          <w:ilvl w:val="0"/>
          <w:numId w:val="9"/>
        </w:numPr>
        <w:tabs>
          <w:tab w:val="clear" w:pos="540"/>
          <w:tab w:val="left" w:pos="1080" w:leader="none"/>
        </w:tabs>
        <w:ind w:hanging="360" w:start="1080" w:end="0"/>
        <w:rPr>
          <w:sz w:val="22"/>
        </w:rPr>
      </w:pPr>
      <w:r>
        <w:rPr>
          <w:b w:val="false"/>
          <w:sz w:val="22"/>
        </w:rPr>
        <w:t>Fully develop customer service concepts.</w:t>
      </w:r>
    </w:p>
    <w:p>
      <w:pPr>
        <w:pStyle w:val="ListBullet21"/>
        <w:numPr>
          <w:ilvl w:val="0"/>
          <w:numId w:val="9"/>
        </w:numPr>
        <w:tabs>
          <w:tab w:val="clear" w:pos="540"/>
          <w:tab w:val="left" w:pos="1080" w:leader="none"/>
        </w:tabs>
        <w:ind w:hanging="360" w:start="1080" w:end="0"/>
        <w:rPr>
          <w:sz w:val="22"/>
        </w:rPr>
      </w:pPr>
      <w:r>
        <w:rPr>
          <w:b w:val="false"/>
          <w:sz w:val="22"/>
        </w:rPr>
        <w:t>Fit within job expectations, accountabilities, and opportunities to enhance profitability and customer loyalty.</w:t>
      </w:r>
    </w:p>
    <w:p>
      <w:pPr>
        <w:pStyle w:val="ListBullet21"/>
        <w:tabs>
          <w:tab w:val="clear" w:pos="540"/>
        </w:tabs>
        <w:rPr>
          <w:sz w:val="22"/>
        </w:rPr>
      </w:pPr>
      <w:r>
        <w:rPr>
          <w:sz w:val="22"/>
        </w:rPr>
      </w:r>
    </w:p>
    <w:p>
      <w:pPr>
        <w:pStyle w:val="ListBullet21"/>
        <w:tabs>
          <w:tab w:val="clear" w:pos="5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296" w:right="1008" w:gutter="0" w:header="720" w:top="1152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80760" cy="26289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0760" cy="2628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1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jc w:val="center"/>
                            <w:rPr>
                              <w:rStyle w:val="PageNumber"/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78.8pt;height:20.7pt;mso-wrap-distance-left:0pt;mso-wrap-distance-right:0pt;mso-wrap-distance-top:0pt;mso-wrap-distance-bottom:0pt;margin-top:0.05pt;mso-position-vertical-relative:text;margin-left: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18"/>
                      </w:rPr>
                    </w:pPr>
                    <w:r>
                      <w:rPr/>
                    </w:r>
                  </w:p>
                  <w:p>
                    <w:pPr>
                      <w:pStyle w:val="Footer"/>
                      <w:jc w:val="center"/>
                      <w:rPr>
                        <w:rStyle w:val="PageNumber"/>
                        <w:rFonts w:ascii="Arial" w:hAnsi="Arial" w:cs="Arial"/>
                        <w:sz w:val="18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18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spacing w:lineRule="auto" w:line="120" w:before="120" w:after="60"/>
      <w:rPr>
        <w:sz w:val="36"/>
      </w:rPr>
    </w:pPr>
    <w:r>
      <w:rPr>
        <w:sz w:val="36"/>
      </w:rPr>
      <w:t>ET&amp;S BUSINESS PLAN</w:t>
    </w:r>
  </w:p>
  <w:p>
    <w:pPr>
      <w:pStyle w:val="Heading"/>
      <w:spacing w:lineRule="auto" w:line="120" w:before="120" w:after="60"/>
      <w:rPr>
        <w:sz w:val="24"/>
      </w:rPr>
    </w:pPr>
    <w:r>
      <w:rPr>
        <w:sz w:val="24"/>
      </w:rPr>
      <w:t>1999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Times New Roman" w:hAnsi="Times New Roman" w:cs="Times New Roman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/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/>
  </w:style>
  <w:style w:type="character" w:styleId="WW8NumSt3z0">
    <w:name w:val="WW8NumSt3z0"/>
    <w:qFormat/>
    <w:rPr>
      <w:rFonts w:ascii="Symbol" w:hAnsi="Symbol" w:cs="Symbol"/>
    </w:rPr>
  </w:style>
  <w:style w:type="character" w:styleId="WW8NumSt5z0">
    <w:name w:val="WW8NumSt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21">
    <w:name w:val="List Bullet 21"/>
    <w:basedOn w:val="Normal"/>
    <w:qFormat/>
    <w:pPr>
      <w:tabs>
        <w:tab w:val="clear" w:pos="709"/>
        <w:tab w:val="left" w:pos="540" w:leader="none"/>
      </w:tabs>
      <w:ind w:hanging="540" w:start="540" w:end="0"/>
    </w:pPr>
    <w:rPr>
      <w:rFonts w:ascii="Arial" w:hAnsi="Arial" w:cs="Arial"/>
      <w:b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2000-01-10T19:47:00Z</dcterms:created>
  <dc:creator>..</dc:creator>
  <dc:description/>
  <dc:language>en-CA</dc:language>
  <cp:lastModifiedBy>Enron</cp:lastModifiedBy>
  <cp:lastPrinted>1999-05-10T17:06:00Z</cp:lastPrinted>
  <dcterms:modified xsi:type="dcterms:W3CDTF">2000-01-10T19:47:00Z</dcterms:modified>
  <cp:revision>3</cp:revision>
  <dc:subject/>
  <dc:title>Strategic Direction Related To Capital Expenditures</dc:title>
</cp:coreProperties>
</file>