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MEMO TO:</w:t>
        <w:tab/>
        <w:t>Jim Steffes, Rick Shapiro Becky Cantrell,</w:t>
      </w:r>
    </w:p>
    <w:p>
      <w:pPr>
        <w:pStyle w:val="Normal"/>
        <w:rPr/>
      </w:pPr>
      <w:r>
        <w:rPr/>
      </w:r>
    </w:p>
    <w:p>
      <w:pPr>
        <w:pStyle w:val="Normal"/>
        <w:rPr/>
      </w:pPr>
      <w:r>
        <w:rPr/>
        <w:t>FROM:</w:t>
        <w:tab/>
        <w:t>Leslie Lawner</w:t>
      </w:r>
    </w:p>
    <w:p>
      <w:pPr>
        <w:pStyle w:val="Normal"/>
        <w:rPr/>
      </w:pPr>
      <w:r>
        <w:rPr/>
      </w:r>
    </w:p>
    <w:p>
      <w:pPr>
        <w:pStyle w:val="Normal"/>
        <w:rPr/>
      </w:pPr>
      <w:r>
        <w:rPr/>
        <w:t>SUBJECT:</w:t>
        <w:tab/>
        <w:t>FERC Docket on Gas Marketing Affiliate Rules, PL00-1</w:t>
      </w:r>
    </w:p>
    <w:p>
      <w:pPr>
        <w:pStyle w:val="Normal"/>
        <w:rPr/>
      </w:pPr>
      <w:r>
        <w:rPr/>
      </w:r>
    </w:p>
    <w:p>
      <w:pPr>
        <w:pStyle w:val="Normal"/>
        <w:rPr/>
      </w:pPr>
      <w:r>
        <w:rPr/>
        <w:t>DATE:</w:t>
        <w:tab/>
        <w:tab/>
        <w:t>Dec. 13, 2000</w:t>
      </w:r>
    </w:p>
    <w:p>
      <w:pPr>
        <w:pStyle w:val="Normal"/>
        <w:rPr/>
      </w:pPr>
      <w:r>
        <w:rPr/>
      </w:r>
    </w:p>
    <w:p>
      <w:pPr>
        <w:pStyle w:val="BodyText"/>
        <w:rPr/>
      </w:pPr>
      <w:r>
        <w:rPr/>
        <w:t>I have reviewed Becky’s notes, talked to Shelly Corman and others about the FERC proceeding on the gas marketing affiliate rules and here are some thoughts.  Written comments are due 1/5/01 and the public hearing is on 1/31/01.</w:t>
      </w:r>
    </w:p>
    <w:p>
      <w:pPr>
        <w:pStyle w:val="Normal"/>
        <w:jc w:val="both"/>
        <w:rPr/>
      </w:pPr>
      <w:r>
        <w:rPr/>
      </w:r>
    </w:p>
    <w:p>
      <w:pPr>
        <w:pStyle w:val="Normal"/>
        <w:jc w:val="both"/>
        <w:rPr/>
      </w:pPr>
      <w:r>
        <w:rPr/>
        <w:t xml:space="preserve">FERC has invited comments on effectiveness of current rules, potential concerns and approaches for dealing with affiliates, and whether changes are needed to reflect the changing nature of the industry.  This is really a double-edged sword.  While we can certainly argue that it is time to lighten up on some of the rules, a number of parties have been bombarding FERC with arguments that affiliate abuse is rampant.  We must recognize that while we may want to make things better for our business, there is a strong movement on the part of our competitors, and some FERC staffers, to make the rules stronger -- even to go so far as to preclude marketing affiliates from conducting business on their affiliated pipelines.  </w:t>
      </w:r>
    </w:p>
    <w:p>
      <w:pPr>
        <w:pStyle w:val="Normal"/>
        <w:jc w:val="both"/>
        <w:rPr/>
      </w:pPr>
      <w:r>
        <w:rPr/>
      </w:r>
    </w:p>
    <w:p>
      <w:pPr>
        <w:pStyle w:val="Normal"/>
        <w:jc w:val="both"/>
        <w:rPr/>
      </w:pPr>
      <w:r>
        <w:rPr/>
        <w:t>One example of a potential for concern is the notion that certain conditions in the electric affiliate rules should be imported to the gas side.  We have argued for strong electric rules, but we would not necessarily want them imposed on the pipeline side.  We will have to argue that there is a qualitative difference between the two markets:  the gas pipelines are truly open access, but the electric utilities still have market power and need those stronger rules.  We can also point to the fact that the gas markets have been open longer, and that the nature of affiliate complaints the FERC receives on the gas side is very different than those on the electric side.  On the gas side, the complaints are fewer and more related to ambiguous or outdated tariff language than out-and-out abuses.</w:t>
      </w:r>
    </w:p>
    <w:p>
      <w:pPr>
        <w:pStyle w:val="Normal"/>
        <w:jc w:val="both"/>
        <w:rPr/>
      </w:pPr>
      <w:r>
        <w:rPr/>
      </w:r>
    </w:p>
    <w:p>
      <w:pPr>
        <w:pStyle w:val="Normal"/>
        <w:jc w:val="both"/>
        <w:rPr/>
      </w:pPr>
      <w:r>
        <w:rPr/>
        <w:t xml:space="preserve">There is perhaps one “real” gas issue, that crosses over to the electric side.  Some pipelines have taken requests for service from power plant developers, and then give that information to their electric marketing affiliates, which are not “marketing affiliates” under the gas rule.  This is a loophole that probably should be closed, which we can’t take advantage of it in any event (since our electric marketer </w:t>
      </w:r>
      <w:r>
        <w:rPr>
          <w:b/>
          <w:bCs/>
        </w:rPr>
        <w:t xml:space="preserve">is </w:t>
      </w:r>
      <w:r>
        <w:rPr/>
        <w:t xml:space="preserve">an affiliate under the gas rules, as it is part of ENA). </w:t>
      </w:r>
    </w:p>
    <w:p>
      <w:pPr>
        <w:pStyle w:val="Normal"/>
        <w:jc w:val="both"/>
        <w:rPr/>
      </w:pPr>
      <w:r>
        <w:rPr/>
      </w:r>
    </w:p>
    <w:p>
      <w:pPr>
        <w:pStyle w:val="Normal"/>
        <w:jc w:val="both"/>
        <w:rPr/>
      </w:pPr>
      <w:r>
        <w:rPr/>
        <w:t>FERC has imposed some new conditions on pipelines and their affiliates through merger proceedings (eg. Dominion).  I propose we look at these and decide whether it would be worth arguing that they are not appropriate for the market as a whole.  These conditions include treating all energy-related affiliates as marketing affiliates, keeping employee transfer records and logs of all visits, calls and meetings between personnel, annual trainings, and key card access to facilities.</w:t>
      </w:r>
    </w:p>
    <w:p>
      <w:pPr>
        <w:pStyle w:val="Normal"/>
        <w:jc w:val="both"/>
        <w:rPr/>
      </w:pPr>
      <w:r>
        <w:rPr/>
      </w:r>
    </w:p>
    <w:p>
      <w:pPr>
        <w:pStyle w:val="Normal"/>
        <w:jc w:val="both"/>
        <w:rPr/>
      </w:pPr>
      <w:r>
        <w:rPr/>
        <w:t>Here is a list of some things I think we can and should argue:</w:t>
      </w:r>
    </w:p>
    <w:p>
      <w:pPr>
        <w:pStyle w:val="Normal"/>
        <w:jc w:val="both"/>
        <w:rPr/>
      </w:pPr>
      <w:r>
        <w:rPr/>
      </w:r>
    </w:p>
    <w:p>
      <w:pPr>
        <w:pStyle w:val="Normal"/>
        <w:numPr>
          <w:ilvl w:val="0"/>
          <w:numId w:val="1"/>
        </w:numPr>
        <w:jc w:val="both"/>
        <w:rPr/>
      </w:pPr>
      <w:r>
        <w:rPr/>
        <w:t>Marketing affiliates are key players and their participation adds to levels of competition, enhancing markets.  Rules should not artificially limit where and how they can participate.</w:t>
      </w:r>
    </w:p>
    <w:p>
      <w:pPr>
        <w:pStyle w:val="Normal"/>
        <w:numPr>
          <w:ilvl w:val="0"/>
          <w:numId w:val="1"/>
        </w:numPr>
        <w:jc w:val="both"/>
        <w:rPr/>
      </w:pPr>
      <w:r>
        <w:rPr/>
        <w:t>Rules have not kept up with market changes.  Rules should allow new developments in electronic transactions and trading to grow.</w:t>
      </w:r>
    </w:p>
    <w:p>
      <w:pPr>
        <w:pStyle w:val="Normal"/>
        <w:numPr>
          <w:ilvl w:val="0"/>
          <w:numId w:val="1"/>
        </w:numPr>
        <w:jc w:val="both"/>
        <w:rPr/>
      </w:pPr>
      <w:r>
        <w:rPr/>
        <w:t>Address the “funny money” argument (that pipelines and their affiliates collude in ways that thwart the market, because ultimately one is willing to lose money if it means the other will make more).</w:t>
      </w:r>
    </w:p>
    <w:p>
      <w:pPr>
        <w:pStyle w:val="Normal"/>
        <w:numPr>
          <w:ilvl w:val="0"/>
          <w:numId w:val="1"/>
        </w:numPr>
        <w:jc w:val="both"/>
        <w:rPr/>
      </w:pPr>
      <w:r>
        <w:rPr/>
        <w:t>Explain the motivation behind the parties arguing that rules need to be stricter.  These are primarily producer-marketer who lose margin opportunities when markets are liquid, transparent, fast-moving and geographically expanding.  They would like to make the markets more cumbersome with less efficient participants.</w:t>
      </w:r>
    </w:p>
    <w:p>
      <w:pPr>
        <w:pStyle w:val="Normal"/>
        <w:numPr>
          <w:ilvl w:val="0"/>
          <w:numId w:val="1"/>
        </w:numPr>
        <w:jc w:val="both"/>
        <w:rPr/>
      </w:pPr>
      <w:r>
        <w:rPr/>
        <w:t>Address gray market issues(?)</w:t>
      </w:r>
    </w:p>
    <w:p>
      <w:pPr>
        <w:pStyle w:val="Normal"/>
        <w:numPr>
          <w:ilvl w:val="0"/>
          <w:numId w:val="1"/>
        </w:numPr>
        <w:jc w:val="both"/>
        <w:rPr/>
      </w:pPr>
      <w:r>
        <w:rPr/>
        <w:t>While there are in fact some real instances of abuse, and we want to keep the rules in place that allow these abuses to be discovered and addressed some complaints against marketing affiliates (at least the ones against us) have not been meritorious, yet we have to devote time and resources to litigate.  Use the NUI case to show that FERC should have a threshold showing requirement before they launch into investigation mode.</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2000-12-13T14:50:00Z</dcterms:created>
  <dc:creator>llawner</dc:creator>
  <dc:description/>
  <dc:language>en-CA</dc:language>
  <cp:lastModifiedBy>llawner</cp:lastModifiedBy>
  <dcterms:modified xsi:type="dcterms:W3CDTF">2000-12-13T16:09:00Z</dcterms:modified>
  <cp:revision>2</cp:revision>
  <dc:subject/>
  <dc:title>Memo to:</dc:title>
</cp:coreProperties>
</file>