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BEFORE THE UNITED STATES</w:t>
      </w:r>
    </w:p>
    <w:p>
      <w:pPr>
        <w:pStyle w:val="Normal"/>
        <w:jc w:val="center"/>
        <w:rPr>
          <w:b/>
          <w:bCs/>
        </w:rPr>
      </w:pPr>
      <w:r>
        <w:rPr>
          <w:b/>
          <w:bCs/>
        </w:rPr>
        <w:t>FEDERAL ENERGY REGULATORY COMMISSION</w:t>
      </w:r>
    </w:p>
    <w:p>
      <w:pPr>
        <w:pStyle w:val="Normal"/>
        <w:jc w:val="center"/>
        <w:rPr>
          <w:b/>
          <w:bCs/>
        </w:rPr>
      </w:pPr>
      <w:r>
        <w:rPr>
          <w:b/>
          <w:bCs/>
        </w:rPr>
      </w:r>
    </w:p>
    <w:p>
      <w:pPr>
        <w:pStyle w:val="Normal"/>
        <w:jc w:val="both"/>
        <w:rPr>
          <w:b/>
          <w:bCs/>
        </w:rPr>
      </w:pPr>
      <w:r>
        <w:rPr>
          <w:b/>
          <w:bCs/>
        </w:rPr>
        <w:t>DIALOG CONCERNING NATURAL GAS</w:t>
        <w:tab/>
        <w:t>}</w:t>
      </w:r>
    </w:p>
    <w:p>
      <w:pPr>
        <w:pStyle w:val="Normal"/>
        <w:jc w:val="both"/>
        <w:rPr>
          <w:b/>
          <w:bCs/>
        </w:rPr>
      </w:pPr>
      <w:r>
        <w:rPr>
          <w:b/>
          <w:bCs/>
        </w:rPr>
        <w:t xml:space="preserve">TRANSPORTATION POLICIES NEEDED </w:t>
        <w:tab/>
        <w:t>}</w:t>
        <w:tab/>
        <w:t>Docket No. PL00-1-000</w:t>
      </w:r>
    </w:p>
    <w:p>
      <w:pPr>
        <w:pStyle w:val="Normal"/>
        <w:jc w:val="both"/>
        <w:rPr>
          <w:b/>
          <w:bCs/>
        </w:rPr>
      </w:pPr>
      <w:r>
        <w:rPr>
          <w:b/>
          <w:bCs/>
        </w:rPr>
        <w:t>TO FACILITATE DEVELOPMENT OF</w:t>
        <w:tab/>
        <w:tab/>
        <w:t>}</w:t>
      </w:r>
    </w:p>
    <w:p>
      <w:pPr>
        <w:pStyle w:val="Normal"/>
        <w:jc w:val="both"/>
        <w:rPr>
          <w:b/>
          <w:bCs/>
        </w:rPr>
      </w:pPr>
      <w:r>
        <w:rPr>
          <w:b/>
          <w:bCs/>
        </w:rPr>
        <w:t>COMPETITIVE NATURAL GAS MARKETS</w:t>
        <w:tab/>
        <w:t>}</w:t>
      </w:r>
    </w:p>
    <w:p>
      <w:pPr>
        <w:pStyle w:val="Normal"/>
        <w:jc w:val="both"/>
        <w:rPr>
          <w:b/>
          <w:bCs/>
        </w:rPr>
      </w:pPr>
      <w:r>
        <w:rPr>
          <w:b/>
          <w:bCs/>
        </w:rPr>
      </w:r>
    </w:p>
    <w:p>
      <w:pPr>
        <w:pStyle w:val="Normal"/>
        <w:jc w:val="both"/>
        <w:rPr>
          <w:b/>
          <w:bCs/>
        </w:rPr>
      </w:pPr>
      <w:r>
        <w:rPr>
          <w:b/>
          <w:bCs/>
        </w:rPr>
      </w:r>
    </w:p>
    <w:p>
      <w:pPr>
        <w:pStyle w:val="Normal"/>
        <w:jc w:val="center"/>
        <w:rPr/>
      </w:pPr>
      <w:r>
        <w:rPr>
          <w:b/>
          <w:bCs/>
        </w:rPr>
        <w:t>COMMENTS OF ENRON CORP</w:t>
      </w:r>
      <w:r>
        <w:rPr/>
        <w:t xml:space="preserve">. </w:t>
      </w:r>
    </w:p>
    <w:p>
      <w:pPr>
        <w:pStyle w:val="Normal"/>
        <w:jc w:val="center"/>
        <w:rPr/>
      </w:pPr>
      <w:r>
        <w:rPr/>
      </w:r>
    </w:p>
    <w:p>
      <w:pPr>
        <w:pStyle w:val="Normal"/>
        <w:jc w:val="center"/>
        <w:rPr/>
      </w:pPr>
      <w:r>
        <w:rPr/>
      </w:r>
    </w:p>
    <w:p>
      <w:pPr>
        <w:pStyle w:val="BodyText"/>
        <w:spacing w:lineRule="auto" w:line="480"/>
        <w:ind w:firstLine="720" w:end="0"/>
        <w:rPr/>
      </w:pPr>
      <w:r>
        <w:rPr/>
        <w:t xml:space="preserve">In a Notice of Staff Conference issued in the above-captioned proceeding on November 22, 2000, the Commission has convened a conference to focus on whether the regulatory policy with respect to pipeline affiliates and non-affiliates, as well as asset managers and agents, should be revised to reflect the changing nature of the gas market and whether there needs to be revisions to the regulations relating to pipeline affiliates.  </w:t>
      </w:r>
    </w:p>
    <w:p>
      <w:pPr>
        <w:pStyle w:val="BodyText"/>
        <w:spacing w:lineRule="auto" w:line="480"/>
        <w:ind w:firstLine="720" w:end="0"/>
        <w:rPr/>
      </w:pPr>
      <w:r>
        <w:rPr/>
        <w:t>The Commission has asked parties to comment on three issues pertaining to this conference:  (1) to provide input on how to structure the discussion; (2) to identify issues and examples to foster a meaningful dialog; and (3) to suggest questions that staff moderator may wish to pose the panel.</w:t>
      </w:r>
    </w:p>
    <w:p>
      <w:pPr>
        <w:pStyle w:val="BodyText"/>
        <w:spacing w:lineRule="auto" w:line="480"/>
        <w:ind w:firstLine="720" w:end="0"/>
        <w:rPr/>
      </w:pPr>
      <w:r>
        <w:rPr/>
        <w:t xml:space="preserve">Parties are also asked to include a one-page summary of their position and to indicate whether the party is interested in participating in the panel.  Commenters are encouraged to address certain areas, including the current regulatory approach, potential affiliate concerns, and potential approaches for dealing with affiliates.  </w:t>
      </w:r>
    </w:p>
    <w:p>
      <w:pPr>
        <w:pStyle w:val="BodyText"/>
        <w:spacing w:lineRule="auto" w:line="480"/>
        <w:ind w:firstLine="720" w:end="0"/>
        <w:rPr/>
      </w:pPr>
      <w:r>
        <w:rPr/>
        <w:t>While Enron does not have any particular suggestions on the structure of the panel discussion, we would point out that Enron Corp. owns both interstate pipeline companies and companies which are marketing affiliates under the Commission’s regulations.  The bulk of the business conducted by Enron marketing companies is done on pipeline systems which are not owned by Enron.  Thus, not only do we have to operate under the standards of conduct when transacting business on our own systems, we have a stake in the fair operation of third party pipeline systems as a customer on those systems.  In setting up the panels and framing issues for discussion, the Commission should recognize that, certainly from Enron’s perspective, our interest is not simply to see that the marketing affiliate rules are eliminated or watered down.  We want to ensure that we can do business on other systems, without having to overcome advantages that may be given to that pipeline’s marketing affiliate.  To that end, we seek rules that are not unduly burdensome, are properly crafted to address the real potential for abuse and do not render us unable to compete fairly in the market.</w:t>
      </w:r>
    </w:p>
    <w:p>
      <w:pPr>
        <w:pStyle w:val="BodyText"/>
        <w:spacing w:lineRule="auto" w:line="480"/>
        <w:ind w:firstLine="360" w:end="0"/>
        <w:rPr/>
      </w:pPr>
      <w:r>
        <w:rPr/>
        <w:t>As to the issues and questions which would foster a meaningful dialog, Enron submits that issues and questions below should be addressed at the public conference.  These concerns are also reflected in out Summary of Position, attached hereto.  These issues are:</w:t>
      </w:r>
    </w:p>
    <w:p>
      <w:pPr>
        <w:pStyle w:val="BodyText"/>
        <w:numPr>
          <w:ilvl w:val="0"/>
          <w:numId w:val="1"/>
        </w:numPr>
        <w:rPr/>
      </w:pPr>
      <w:r>
        <w:rPr/>
        <w:t>Finding the proper balance between restrictions on pipeline-affiliate interaction and hampering the marketplace;</w:t>
      </w:r>
    </w:p>
    <w:p>
      <w:pPr>
        <w:pStyle w:val="BodyText"/>
        <w:rPr/>
      </w:pPr>
      <w:r>
        <w:rPr/>
      </w:r>
    </w:p>
    <w:p>
      <w:pPr>
        <w:pStyle w:val="BodyText"/>
        <w:numPr>
          <w:ilvl w:val="1"/>
          <w:numId w:val="1"/>
        </w:numPr>
        <w:rPr/>
      </w:pPr>
      <w:r>
        <w:rPr/>
        <w:t>Are more restrictions really necessary?</w:t>
      </w:r>
    </w:p>
    <w:p>
      <w:pPr>
        <w:pStyle w:val="BodyText"/>
        <w:numPr>
          <w:ilvl w:val="1"/>
          <w:numId w:val="1"/>
        </w:numPr>
        <w:rPr/>
      </w:pPr>
      <w:r>
        <w:rPr/>
        <w:t>What are the costs to the market of additional rules and restrictions?</w:t>
      </w:r>
    </w:p>
    <w:p>
      <w:pPr>
        <w:pStyle w:val="BodyText"/>
        <w:numPr>
          <w:ilvl w:val="1"/>
          <w:numId w:val="1"/>
        </w:numPr>
        <w:rPr/>
      </w:pPr>
      <w:r>
        <w:rPr/>
        <w:t>What legal justification is behind the move to impose stricter standards on pipeline-affiliate transactions?</w:t>
      </w:r>
    </w:p>
    <w:p>
      <w:pPr>
        <w:pStyle w:val="BodyText"/>
        <w:rPr/>
      </w:pPr>
      <w:r>
        <w:rPr/>
      </w:r>
    </w:p>
    <w:p>
      <w:pPr>
        <w:pStyle w:val="BodyText"/>
        <w:numPr>
          <w:ilvl w:val="0"/>
          <w:numId w:val="1"/>
        </w:numPr>
        <w:rPr/>
      </w:pPr>
      <w:r>
        <w:rPr/>
        <w:t>Ensuring that the affiliate rules do not stand in the way of vibrant and rapid market development, innovation and new technologies;</w:t>
      </w:r>
    </w:p>
    <w:p>
      <w:pPr>
        <w:pStyle w:val="BodyText"/>
        <w:rPr/>
      </w:pPr>
      <w:r>
        <w:rPr/>
      </w:r>
    </w:p>
    <w:p>
      <w:pPr>
        <w:pStyle w:val="BodyText"/>
        <w:numPr>
          <w:ilvl w:val="0"/>
          <w:numId w:val="1"/>
        </w:numPr>
        <w:rPr/>
      </w:pPr>
      <w:r>
        <w:rPr/>
        <w:t xml:space="preserve">Reexamining the definition of marketing affiliate.  Should it include affiliates of the pipelines who do not market gas, but who use gas, as, for example, merchant power plants. </w:t>
      </w:r>
    </w:p>
    <w:p>
      <w:pPr>
        <w:pStyle w:val="BodyText"/>
        <w:rPr/>
      </w:pPr>
      <w:r>
        <w:rPr/>
      </w:r>
    </w:p>
    <w:p>
      <w:pPr>
        <w:pStyle w:val="BodyText"/>
        <w:spacing w:lineRule="auto" w:line="480"/>
        <w:rPr/>
      </w:pPr>
      <w:r>
        <w:rPr/>
        <w:t>Enron would be interested in having a representative from its marketing affiliate participate in the panel discussion.</w:t>
      </w:r>
    </w:p>
    <w:p>
      <w:pPr>
        <w:pStyle w:val="BodyText"/>
        <w:spacing w:lineRule="auto" w:line="480"/>
        <w:rPr/>
      </w:pPr>
      <w:r>
        <w:rPr/>
        <w:tab/>
        <w:t>Enron appreciates the opportunity to participate in this important dialog.</w:t>
      </w:r>
    </w:p>
    <w:p>
      <w:pPr>
        <w:pStyle w:val="BodyText"/>
        <w:rPr/>
      </w:pPr>
      <w:r>
        <w:rPr/>
        <w:t>Dated January 4, 2001</w:t>
        <w:tab/>
        <w:tab/>
        <w:tab/>
        <w:tab/>
        <w:t>Respectfully submitted,</w:t>
      </w:r>
    </w:p>
    <w:p>
      <w:pPr>
        <w:pStyle w:val="BodyText"/>
        <w:rPr/>
      </w:pPr>
      <w:r>
        <w:rPr/>
      </w:r>
    </w:p>
    <w:p>
      <w:pPr>
        <w:pStyle w:val="BodyText"/>
        <w:rPr/>
      </w:pPr>
      <w:r>
        <w:rPr/>
      </w:r>
    </w:p>
    <w:p>
      <w:pPr>
        <w:pStyle w:val="BodyText"/>
        <w:rPr/>
      </w:pPr>
      <w:r>
        <w:rPr/>
        <w:tab/>
        <w:tab/>
        <w:tab/>
        <w:tab/>
        <w:tab/>
        <w:tab/>
      </w:r>
      <w:r>
        <w:rPr>
          <w:b/>
          <w:bCs/>
        </w:rPr>
        <w:t>ENRON NORTH AMERICA CORP.</w:t>
      </w:r>
    </w:p>
    <w:p>
      <w:pPr>
        <w:pStyle w:val="BodyText"/>
        <w:rPr>
          <w:b/>
          <w:bCs/>
        </w:rPr>
      </w:pPr>
      <w:r>
        <w:rPr>
          <w:b/>
          <w:bCs/>
        </w:rPr>
      </w:r>
    </w:p>
    <w:p>
      <w:pPr>
        <w:pStyle w:val="BodyText"/>
        <w:rPr/>
      </w:pPr>
      <w:r>
        <w:rPr/>
      </w:r>
    </w:p>
    <w:p>
      <w:pPr>
        <w:pStyle w:val="BodyText"/>
        <w:rPr/>
      </w:pPr>
      <w:r>
        <w:rPr/>
      </w:r>
    </w:p>
    <w:p>
      <w:pPr>
        <w:pStyle w:val="BodyText"/>
        <w:rPr/>
      </w:pPr>
      <w:r>
        <w:rPr/>
        <w:tab/>
        <w:tab/>
        <w:tab/>
        <w:tab/>
        <w:tab/>
        <w:tab/>
        <w:t>By Leslie Lawner, Director</w:t>
      </w:r>
    </w:p>
    <w:p>
      <w:pPr>
        <w:pStyle w:val="BodyText"/>
        <w:rPr/>
      </w:pPr>
      <w:r>
        <w:rPr/>
        <w:tab/>
        <w:tab/>
        <w:tab/>
        <w:tab/>
        <w:tab/>
        <w:tab/>
        <w:t>Enron Corp.</w:t>
      </w:r>
    </w:p>
    <w:p>
      <w:pPr>
        <w:pStyle w:val="BodyText"/>
        <w:ind w:firstLine="720" w:start="3600" w:end="0"/>
        <w:rPr/>
      </w:pPr>
      <w:r>
        <w:rPr/>
        <w:t>712 North Lea</w:t>
      </w:r>
    </w:p>
    <w:p>
      <w:pPr>
        <w:pStyle w:val="BodyText"/>
        <w:ind w:firstLine="720" w:start="3600" w:end="0"/>
        <w:rPr/>
      </w:pPr>
      <w:r>
        <w:rPr/>
        <w:t>Roswell, NM 88201</w:t>
      </w:r>
    </w:p>
    <w:p>
      <w:pPr>
        <w:pStyle w:val="BodyText"/>
        <w:rPr/>
      </w:pPr>
      <w:r>
        <w:rPr/>
        <w:tab/>
        <w:tab/>
        <w:tab/>
        <w:tab/>
        <w:tab/>
        <w:tab/>
        <w:t>(505) 623-6778</w:t>
      </w:r>
    </w:p>
    <w:p>
      <w:pPr>
        <w:pStyle w:val="BodyText"/>
        <w:rPr/>
      </w:pPr>
      <w:r>
        <w:rPr/>
        <w:tab/>
        <w:tab/>
        <w:tab/>
        <w:tab/>
        <w:tab/>
        <w:tab/>
        <w:t>Fax (505) 625-2820</w:t>
      </w:r>
    </w:p>
    <w:p>
      <w:pPr>
        <w:pStyle w:val="BodyText"/>
        <w:rPr/>
      </w:pPr>
      <w:r>
        <w:rPr/>
        <w:tab/>
        <w:tab/>
        <w:tab/>
        <w:tab/>
        <w:tab/>
        <w:tab/>
        <w:t>Email:  llawner@enron.com</w:t>
      </w:r>
      <w:r>
        <w:br w:type="page"/>
      </w:r>
    </w:p>
    <w:p>
      <w:pPr>
        <w:pStyle w:val="BodyText"/>
        <w:rPr/>
      </w:pPr>
      <w:r>
        <w:rPr/>
      </w:r>
    </w:p>
    <w:p>
      <w:pPr>
        <w:pStyle w:val="BodyText"/>
        <w:jc w:val="center"/>
        <w:rPr>
          <w:b/>
          <w:bCs/>
        </w:rPr>
      </w:pPr>
      <w:r>
        <w:rPr>
          <w:b/>
          <w:bCs/>
        </w:rPr>
        <w:t>SUMMARY OF ENRON’S POSITION</w:t>
      </w:r>
    </w:p>
    <w:p>
      <w:pPr>
        <w:pStyle w:val="BodyText"/>
        <w:jc w:val="center"/>
        <w:rPr>
          <w:b/>
          <w:bCs/>
        </w:rPr>
      </w:pPr>
      <w:r>
        <w:rPr>
          <w:b/>
          <w:bCs/>
        </w:rPr>
      </w:r>
    </w:p>
    <w:p>
      <w:pPr>
        <w:pStyle w:val="Normal"/>
        <w:numPr>
          <w:ilvl w:val="0"/>
          <w:numId w:val="2"/>
        </w:numPr>
        <w:jc w:val="both"/>
        <w:rPr/>
      </w:pPr>
      <w:r>
        <w:rPr/>
        <w:t>Marketing affiliates are key players and their participation adds to levels of competition, enhancing markets.  Marketing affiliate rules and standards of conduct should not artificially limit where and how they can participate.</w:t>
      </w:r>
    </w:p>
    <w:p>
      <w:pPr>
        <w:pStyle w:val="Normal"/>
        <w:jc w:val="both"/>
        <w:rPr/>
      </w:pPr>
      <w:r>
        <w:rPr/>
      </w:r>
    </w:p>
    <w:p>
      <w:pPr>
        <w:pStyle w:val="Normal"/>
        <w:numPr>
          <w:ilvl w:val="0"/>
          <w:numId w:val="2"/>
        </w:numPr>
        <w:jc w:val="both"/>
        <w:rPr/>
      </w:pPr>
      <w:r>
        <w:rPr/>
        <w:t xml:space="preserve">Marketing affiliate rules must keep up with market changes.  Rules should not hinder the new developments in electronic transactions or a more quickly-paced market. </w:t>
      </w:r>
    </w:p>
    <w:p>
      <w:pPr>
        <w:pStyle w:val="Normal"/>
        <w:jc w:val="both"/>
        <w:rPr/>
      </w:pPr>
      <w:r>
        <w:rPr/>
      </w:r>
    </w:p>
    <w:p>
      <w:pPr>
        <w:pStyle w:val="Normal"/>
        <w:numPr>
          <w:ilvl w:val="0"/>
          <w:numId w:val="2"/>
        </w:numPr>
        <w:jc w:val="both"/>
        <w:rPr/>
      </w:pPr>
      <w:r>
        <w:rPr/>
        <w:t>The definition of marketing affiliate: should be reviewed.  It should include electric generation/marketing affiliates, who utilize their affiliated pipelines’ capacity.</w:t>
      </w:r>
    </w:p>
    <w:p>
      <w:pPr>
        <w:pStyle w:val="Normal"/>
        <w:jc w:val="both"/>
        <w:rPr/>
      </w:pPr>
      <w:r>
        <w:rPr/>
      </w:r>
    </w:p>
    <w:p>
      <w:pPr>
        <w:pStyle w:val="Normal"/>
        <w:numPr>
          <w:ilvl w:val="0"/>
          <w:numId w:val="2"/>
        </w:numPr>
        <w:jc w:val="both"/>
        <w:rPr/>
      </w:pPr>
      <w:r>
        <w:rPr/>
        <w:t xml:space="preserve">Examine the justification for the arguments that rules need to be stricter.  Would stricter rules prevent real affiliate abuse that current rules do not, or would they instead merely restrict the activities of some of the more successful participants in the marketplace? </w:t>
      </w:r>
    </w:p>
    <w:p>
      <w:pPr>
        <w:pStyle w:val="Normal"/>
        <w:jc w:val="both"/>
        <w:rPr/>
      </w:pPr>
      <w:r>
        <w:rPr/>
      </w:r>
    </w:p>
    <w:p>
      <w:pPr>
        <w:pStyle w:val="Normal"/>
        <w:numPr>
          <w:ilvl w:val="0"/>
          <w:numId w:val="2"/>
        </w:numPr>
        <w:jc w:val="both"/>
        <w:rPr/>
      </w:pPr>
      <w:r>
        <w:rPr/>
        <w:t>While there are in fact some real instances of abuse, and we want to keep the rules in place that allow these abuses to be discovered and addressed, the Commission should require a complainant meet a reasonable threshold before the Commission launches into full investigation mode.</w:t>
      </w:r>
    </w:p>
    <w:p>
      <w:pPr>
        <w:pStyle w:val="BodyText"/>
        <w:jc w:val="center"/>
        <w:rPr/>
      </w:pPr>
      <w:r>
        <w:rPr/>
      </w:r>
      <w:r>
        <w:br w:type="page"/>
      </w:r>
    </w:p>
    <w:p>
      <w:pPr>
        <w:pStyle w:val="BodyText"/>
        <w:jc w:val="center"/>
        <w:rPr>
          <w:b/>
          <w:bCs/>
          <w:u w:val="single"/>
        </w:rPr>
      </w:pPr>
      <w:r>
        <w:rPr>
          <w:b/>
          <w:bCs/>
          <w:u w:val="single"/>
        </w:rPr>
        <w:t>Certificate of Service</w:t>
      </w:r>
    </w:p>
    <w:p>
      <w:pPr>
        <w:pStyle w:val="BodyText"/>
        <w:rPr>
          <w:b/>
          <w:bCs/>
          <w:u w:val="single"/>
        </w:rPr>
      </w:pPr>
      <w:r>
        <w:rPr>
          <w:b/>
          <w:bCs/>
          <w:u w:val="single"/>
        </w:rPr>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1">
    <w:name w:val="WW8Num1z1"/>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2000-12-20T20:36:00Z</dcterms:created>
  <dc:creator>llawner</dc:creator>
  <dc:description/>
  <dc:language>en-CA</dc:language>
  <cp:lastModifiedBy>llawner</cp:lastModifiedBy>
  <dcterms:modified xsi:type="dcterms:W3CDTF">2001-01-04T14:45:00Z</dcterms:modified>
  <cp:revision>10</cp:revision>
  <dc:subject/>
  <dc:title>BEFORE THE UNITED STATES</dc:title>
</cp:coreProperties>
</file>