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C1"/>
        <w:rPr>
          <w:b/>
          <w:lang w:val="en-GB"/>
        </w:rPr>
      </w:pPr>
      <w:r>
        <w:rPr>
          <w:b/>
          <w:lang w:val="en-GB"/>
        </w:rPr>
      </w:r>
    </w:p>
    <w:p>
      <w:pPr>
        <w:pStyle w:val="NormalC1"/>
        <w:rPr>
          <w:b/>
          <w:lang w:val="en-GB"/>
        </w:rPr>
      </w:pPr>
      <w:r>
        <w:rPr>
          <w:b/>
          <w:lang w:val="en-GB"/>
        </w:rPr>
      </w:r>
    </w:p>
    <w:p>
      <w:pPr>
        <w:pStyle w:val="NormalC1"/>
        <w:rPr>
          <w:b/>
          <w:lang w:val="en-GB"/>
        </w:rPr>
      </w:pPr>
      <w:r>
        <w:rPr>
          <w:b/>
          <w:lang w:val="en-GB"/>
        </w:rPr>
        <w:t>PIX pulp indexes - comments on reporting practices</w:t>
      </w:r>
    </w:p>
    <w:p>
      <w:pPr>
        <w:pStyle w:val="NormalC1"/>
        <w:rPr>
          <w:b/>
          <w:lang w:val="en-GB"/>
        </w:rPr>
      </w:pPr>
      <w:r>
        <w:rPr>
          <w:b/>
          <w:lang w:val="en-GB"/>
        </w:rPr>
      </w:r>
    </w:p>
    <w:p>
      <w:pPr>
        <w:pStyle w:val="NormalC1"/>
        <w:numPr>
          <w:ilvl w:val="0"/>
          <w:numId w:val="2"/>
        </w:numPr>
        <w:rPr>
          <w:lang w:val="en-GB"/>
        </w:rPr>
      </w:pPr>
      <w:r>
        <w:rPr>
          <w:b/>
          <w:lang w:val="en-GB"/>
        </w:rPr>
        <w:t>Sales/purchases</w:t>
      </w:r>
      <w:r>
        <w:rPr>
          <w:lang w:val="en-GB"/>
        </w:rPr>
        <w:t>. Prices are reported on actual sales/purchases of physical pulp in each benchmark grade (i.e. not on just announcement of a new price nor on sales of pulp futures or other financial instrument). They are linked to a transaction, which results in an invoiced delivery of the product during the same month or latest during the month following the reporting date. A sale/purchase for delivery at a later date than that can be reported only when specifications are fulfilled. At times when prices stay unchanged, a company may not have new sales or purchases during a given week. Under such circumstances price(s) given from previous week can be used by FOEX Indexes again but only for this one additional week.</w:t>
      </w:r>
    </w:p>
    <w:p>
      <w:pPr>
        <w:pStyle w:val="NormalC1"/>
        <w:numPr>
          <w:ilvl w:val="0"/>
          <w:numId w:val="2"/>
        </w:numPr>
        <w:rPr>
          <w:lang w:val="en-GB"/>
        </w:rPr>
      </w:pPr>
      <w:r>
        <w:rPr>
          <w:b/>
          <w:lang w:val="en-GB"/>
        </w:rPr>
        <w:t>Quantity</w:t>
      </w:r>
      <w:r>
        <w:rPr>
          <w:lang w:val="en-GB"/>
        </w:rPr>
        <w:t xml:space="preserve">. The total amount of sale must be a minimum of 100 tons. However, the delivery of the total sale exceeding 100 tons can be divided over a period of time in smaller lots. A normal practice in Europe is to sell/buy a quarterly amount at a time but the buyer to take it gradually (usually 1-2 truck loads at a time, once or twice a week) from a consignment storage held in all major sea ports. As invoicing is done separately for each delivery from the warehouse, those lots are often less than 100 tons although the total sale for the quarter exceeds that amount. </w:t>
      </w:r>
    </w:p>
    <w:p>
      <w:pPr>
        <w:pStyle w:val="NormalC1"/>
        <w:numPr>
          <w:ilvl w:val="0"/>
          <w:numId w:val="2"/>
        </w:numPr>
        <w:rPr>
          <w:lang w:val="en-GB"/>
        </w:rPr>
      </w:pPr>
      <w:r>
        <w:rPr>
          <w:b/>
          <w:lang w:val="en-GB"/>
        </w:rPr>
        <w:t>Regular customer</w:t>
      </w:r>
      <w:r>
        <w:rPr>
          <w:lang w:val="en-GB"/>
        </w:rPr>
        <w:t>. This means a company regularly buying pulp for paper or paperboard production purposes. This would leave out sales which sometimes occur to companies that use pulp for other purposes than paper making, to testing laboratories, to financial companies taking over a bankrupt pulp mill, etc. Also, if a producing company has at the end of a particular week sales to customers with an annual contract and to spot-buyers, he is recommended to give the prices invoiced to regular customers, which form the majority of his business rather than to an occasional spot-buyer who tends to try to buy below normal market prices in depressed times but at an overprice in tight market conditions. Share of spot-business in the two benchmark grades in Europe is small (10-15% of total sales) compared to the contract business.</w:t>
      </w:r>
    </w:p>
    <w:p>
      <w:pPr>
        <w:pStyle w:val="NormalC1"/>
        <w:numPr>
          <w:ilvl w:val="0"/>
          <w:numId w:val="2"/>
        </w:numPr>
        <w:rPr>
          <w:lang w:val="en-GB"/>
        </w:rPr>
      </w:pPr>
      <w:r>
        <w:rPr>
          <w:b/>
          <w:lang w:val="en-GB"/>
        </w:rPr>
        <w:t>Delivery terms</w:t>
      </w:r>
      <w:r>
        <w:rPr>
          <w:lang w:val="en-GB"/>
        </w:rPr>
        <w:t xml:space="preserve">. Most of pulp consumed in Europe is brought by vessels to one of the North Atlantic or North Sea ports and sold in CIF terms. Until early 1980ies, pulp delivered to Mediterranean ports had a surcharge over Atlantic/North Sea ports. Today, the CIF quotations are the same and thus e.g. an Italian or Spanish buyer can report a CIF price to a Mediterranean/South Atlantic port as well. Similarly, if pulp is sold franco border (for instance a rail or truck delivery from Sweden to Continental Europe) it can be reported, as pricing in franco border terms follows the CIF-terms. </w:t>
      </w:r>
    </w:p>
    <w:p>
      <w:pPr>
        <w:pStyle w:val="NormalC1"/>
        <w:numPr>
          <w:ilvl w:val="0"/>
          <w:numId w:val="2"/>
        </w:numPr>
        <w:rPr>
          <w:lang w:val="en-GB"/>
        </w:rPr>
      </w:pPr>
      <w:r>
        <w:rPr>
          <w:b/>
          <w:lang w:val="en-GB"/>
        </w:rPr>
        <w:t>Payment term</w:t>
      </w:r>
      <w:r>
        <w:rPr>
          <w:lang w:val="en-GB"/>
        </w:rPr>
        <w:t>. Benchmark specifications at one stage said 30 days net. The slightly modified term used now is: 10-14 days with a cash discount, 30-60 days net or other term of payment which is used in the majority of sales/purchases. In practice, payment term is used as a competitive tool but without it showing in the dollar/euro value given in the invoice. In practice, a lengthening of or shortening of payment time is very quickly “copied” by others. Therefore, the essential (and the donors are aware of this) is to report prices, which are from sales with the most common payment term at that time and/or sales/purchases in the given week in which the payment term does not affect the price tag (which virtually always is the case, anyway). In fact, changing payment terms do not show on the invoice. Buyers take, in weak markets, a “liberty” of being late in payments and sellers do not want/dare to react very strongly.</w:t>
      </w:r>
    </w:p>
    <w:p>
      <w:pPr>
        <w:pStyle w:val="NormalC1"/>
        <w:numPr>
          <w:ilvl w:val="0"/>
          <w:numId w:val="2"/>
        </w:numPr>
        <w:rPr>
          <w:lang w:val="en-GB"/>
        </w:rPr>
      </w:pPr>
      <w:r>
        <w:rPr>
          <w:b/>
          <w:lang w:val="en-GB"/>
        </w:rPr>
        <w:t>Technical specifications</w:t>
      </w:r>
      <w:r>
        <w:rPr>
          <w:lang w:val="en-GB"/>
        </w:rPr>
        <w:t>. Terms “standard dryness”, “standard strength” and “brightness 88+” are understood by the donors of the data. Anything below “the standard” would, in practice, be lead to de-classing of the product and would thus not meet the “prime quality” criteria. Depending on the geographical location of the producing mill (e.g. BC vs. Southern Sweden), the wood species used (e.g. pine vs. spruce vs. Douglas fir etc.) and the type of chips used (whole-wood from thinning wood or tops of larger trees vs. saw-mill chips) the strength properties vary from one producer to another. However, as pulp is sold against specifications agreed between buyer and seller, or against previously delivered lot or sample, a standard for each mill selling pulp is formed. Clear upward deviations from the standard pulp such as extra high brightness or purity lead to producers’ asking for a clear premium for such pulps and they would not be said to have standard characteristics any more. Furthermore, most of those pulps are sold to special end-uses and not to the normal paper makers. Buyers of such products would not even be included in the group of buyers providing their price data to FOEX.</w:t>
      </w:r>
    </w:p>
    <w:p>
      <w:pPr>
        <w:pStyle w:val="NormalC1"/>
        <w:numPr>
          <w:ilvl w:val="0"/>
          <w:numId w:val="2"/>
        </w:numPr>
        <w:rPr>
          <w:lang w:val="en-GB"/>
        </w:rPr>
      </w:pPr>
      <w:r>
        <w:rPr>
          <w:b/>
          <w:lang w:val="en-GB"/>
        </w:rPr>
        <w:t>BHKP index</w:t>
      </w:r>
      <w:r>
        <w:rPr>
          <w:lang w:val="en-GB"/>
        </w:rPr>
        <w:t>; inclusion of both eucalyptus and birch. Barring 1970’ies when eucalyptus pulps came to the market in larger scale and introductory pricing was used, eucalyptus and birch pulps have been, although with slightly different characteristics (birch has better strength but eucalyptus better printing properties), for the past 20 years sold at the same price. Because of the almost 100% correlation between the two prices, this index includes prices from purchases and sales of both birch and eucalyptus BHKP. When designing the index, the industry not only accepted but recommended this practice. As most buyers in Europe buy both pulps and a couple of sellers even have both grades in their portfolio, the exact split between eucalyptus and birch prices in the BHKP index is not known. It is safe to assume, however, that eucalyptus pulps represent between 65-70% of the prices given for the index and birch pulps between 30-35%.</w:t>
      </w:r>
    </w:p>
    <w:p>
      <w:pPr>
        <w:pStyle w:val="NormalC1"/>
        <w:numPr>
          <w:ilvl w:val="0"/>
          <w:numId w:val="2"/>
        </w:numPr>
        <w:rPr>
          <w:lang w:val="en-GB"/>
        </w:rPr>
      </w:pPr>
      <w:r>
        <w:rPr>
          <w:b/>
          <w:lang w:val="en-GB"/>
        </w:rPr>
        <w:t>ECF/TCF</w:t>
      </w:r>
      <w:r>
        <w:rPr>
          <w:lang w:val="en-GB"/>
        </w:rPr>
        <w:t xml:space="preserve">. These terms relate to bleaching technologies. Sulphate pulp used to be bleached using active chlorine (chlorine gas) as the main bleaching agent. In order to reduce the environmental problems caused by chlorine gas usage, new bleaching technologies were developed in 1980ies/early 1990ies. ECF = elementary chlorine free pulp is bleached using non-active chlorine components, in practice chlorine dioxide as the main bleaching agent. In TCF (totally chlorine-compound free) pulp, bleaching is done with oxygen and/or ozone and/or peroxide. In early 1990’ies, TCF-bleached pulps had a premium, driven by perception that TCF-bleaching is the environmentally most friendly method. Recent technological development and studies have shown that ECF-pulp can be as environmentally friendly or even better than TCF. The proposed EU directive for bleached sulphate pulp production/use, BAT (Best Available Technology) accepts both ECF and TCF bleaching technologies. Since 1995/1996 there has been no price differential between ECF and TCF bleached pulps. Virtually all producers of the two benchmark grades have stopped the use of active chlorine. Pulps bleached with active chlorine may be sold with a rebate and are thus left outside the benchmark specifications and thus are not to be reported.  </w:t>
      </w:r>
    </w:p>
    <w:p>
      <w:pPr>
        <w:pStyle w:val="NormalC1"/>
        <w:rPr>
          <w:lang w:val="en-GB"/>
        </w:rPr>
      </w:pPr>
      <w:r>
        <w:rPr>
          <w:lang w:val="en-GB"/>
        </w:rPr>
      </w:r>
    </w:p>
    <w:p>
      <w:pPr>
        <w:pStyle w:val="NormalC1"/>
        <w:rPr/>
      </w:pPr>
      <w:r>
        <w:rPr>
          <w:lang w:val="en-GB"/>
        </w:rPr>
        <w:t xml:space="preserve">Pulp trade in Europe is practised under the so-called </w:t>
      </w:r>
      <w:r>
        <w:rPr>
          <w:b/>
          <w:lang w:val="en-GB"/>
        </w:rPr>
        <w:t>General Trade Rules</w:t>
      </w:r>
      <w:r>
        <w:rPr>
          <w:lang w:val="en-GB"/>
        </w:rPr>
        <w:t xml:space="preserve"> for pulp which were created in mid 1960ies jointly by the major sellers and buyers (or organisations representing either party). The full acceptance of these Rules by both sellers and buyers and - after a small modification in the rules in early 1980’ies - also by the anti-trust authorities, standardises the practices of the pulp trade and makes it even easier for the industry to understand and follow the benchmark specifications of the PIX indexes when giving FOEX their weekly prices and also in using the indexes in cash-settled hedging products.  </w:t>
      </w:r>
    </w:p>
    <w:p>
      <w:pPr>
        <w:pStyle w:val="NormalC1"/>
        <w:rPr>
          <w:lang w:val="en-GB"/>
        </w:rPr>
      </w:pPr>
      <w:r>
        <w:rPr>
          <w:lang w:val="en-GB"/>
        </w:rPr>
        <w:t xml:space="preserve">  </w:t>
      </w:r>
    </w:p>
    <w:sectPr>
      <w:type w:val="nextPage"/>
      <w:pgSz w:w="11906" w:h="16838"/>
      <w:pgMar w:left="1134" w:right="851" w:gutter="0" w:header="0" w:top="720"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97"/>
        </w:tabs>
        <w:ind w:start="397" w:hanging="397"/>
      </w:pPr>
    </w:lvl>
    <w:lvl w:ilvl="1">
      <w:start w:val="1"/>
      <w:pStyle w:val="Heading2"/>
      <w:numFmt w:val="decimal"/>
      <w:lvlText w:val="%1.%2"/>
      <w:lvlJc w:val="start"/>
      <w:pPr>
        <w:tabs>
          <w:tab w:val="num" w:pos="624"/>
        </w:tabs>
        <w:ind w:start="624" w:hanging="624"/>
      </w:pPr>
    </w:lvl>
    <w:lvl w:ilvl="2">
      <w:start w:val="1"/>
      <w:pStyle w:val="Heading3"/>
      <w:numFmt w:val="decimal"/>
      <w:lvlText w:val="%1.%2.%3"/>
      <w:lvlJc w:val="start"/>
      <w:pPr>
        <w:tabs>
          <w:tab w:val="num" w:pos="794"/>
        </w:tabs>
        <w:ind w:start="794" w:hanging="794"/>
      </w:pPr>
    </w:lvl>
    <w:lvl w:ilvl="3">
      <w:start w:val="1"/>
      <w:pStyle w:val="Heading4"/>
      <w:numFmt w:val="decimal"/>
      <w:lvlText w:val="%1.%2.%3.%4"/>
      <w:lvlJc w:val="start"/>
      <w:pPr>
        <w:tabs>
          <w:tab w:val="num" w:pos="0"/>
        </w:tabs>
        <w:ind w:start="0" w:hanging="0"/>
      </w:pPr>
    </w:lvl>
    <w:lvl w:ilvl="4">
      <w:start w:val="1"/>
      <w:pStyle w:val="Heading5"/>
      <w:numFmt w:val="decimal"/>
      <w:lvlText w:val="%1.%2.%3.%4.%5"/>
      <w:lvlJc w:val="start"/>
      <w:pPr>
        <w:tabs>
          <w:tab w:val="num" w:pos="0"/>
        </w:tabs>
        <w:ind w:start="0" w:hanging="0"/>
      </w:pPr>
    </w:lvl>
    <w:lvl w:ilvl="5">
      <w:start w:val="1"/>
      <w:pStyle w:val="Heading6"/>
      <w:numFmt w:val="decimal"/>
      <w:lvlText w:val="%1.%2.%3.%4.%5.%6"/>
      <w:lvlJc w:val="start"/>
      <w:pPr>
        <w:tabs>
          <w:tab w:val="num" w:pos="0"/>
        </w:tabs>
        <w:ind w:start="0" w:hanging="0"/>
      </w:pPr>
    </w:lvl>
    <w:lvl w:ilvl="6">
      <w:start w:val="1"/>
      <w:pStyle w:val="Heading7"/>
      <w:numFmt w:val="decimal"/>
      <w:lvlText w:val="%1.%2.%3.%4.%5.%6.%7"/>
      <w:lvlJc w:val="start"/>
      <w:pPr>
        <w:tabs>
          <w:tab w:val="num" w:pos="0"/>
        </w:tabs>
        <w:ind w:start="0" w:hanging="0"/>
      </w:pPr>
    </w:lvl>
    <w:lvl w:ilvl="7">
      <w:start w:val="1"/>
      <w:pStyle w:val="Heading8"/>
      <w:numFmt w:val="decimal"/>
      <w:lvlText w:val="%1.%2.%3.%4.%5.%6.%7.%8"/>
      <w:lvlJc w:val="start"/>
      <w:pPr>
        <w:tabs>
          <w:tab w:val="num" w:pos="0"/>
        </w:tabs>
        <w:ind w:start="0" w:hanging="0"/>
      </w:pPr>
    </w:lvl>
    <w:lvl w:ilvl="8">
      <w:start w:val="1"/>
      <w:pStyle w:val="Heading9"/>
      <w:numFmt w:val="decimal"/>
      <w:lvlText w:val="%1.%2.%3.%4.%5.%6.%7.%8.%9"/>
      <w:lvlJc w:val="start"/>
      <w:pPr>
        <w:tabs>
          <w:tab w:val="num" w:pos="0"/>
        </w:tabs>
        <w:ind w:start="0" w:hanging="0"/>
      </w:pPr>
    </w:lvl>
  </w:abstractNum>
  <w:abstractNum w:abstractNumId="2">
    <w:lvl w:ilvl="0">
      <w:start w:val="1"/>
      <w:numFmt w:val="decimal"/>
      <w:lvlText w:val="%1. "/>
      <w:lvlJc w:val="start"/>
      <w:pPr>
        <w:tabs>
          <w:tab w:val="num" w:pos="283"/>
        </w:tabs>
        <w:ind w:start="1581" w:hanging="283"/>
      </w:pPr>
      <w:rPr>
        <w:sz w:val="24"/>
        <w:i w:val="false"/>
        <w:b w:val="false"/>
      </w:rPr>
    </w:lvl>
  </w:abstractNum>
  <w:abstractNum w:abstractNumId="3">
    <w:lvl w:ilvl="0">
      <w:start w:val="1"/>
      <w:numFmt w:val="bullet"/>
      <w:lvlText w:val=""/>
      <w:lvlJc w:val="start"/>
      <w:pPr>
        <w:tabs>
          <w:tab w:val="num" w:pos="284"/>
        </w:tabs>
        <w:ind w:start="284" w:hanging="284"/>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284"/>
        </w:tabs>
        <w:ind w:start="284" w:hanging="284"/>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1298"/>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eastAsia="zh-CN" w:bidi="hi-IN"/>
    </w:rPr>
  </w:style>
  <w:style w:type="paragraph" w:styleId="Heading1">
    <w:name w:val="heading 1"/>
    <w:basedOn w:val="Normal"/>
    <w:next w:val="C2PlainText"/>
    <w:qFormat/>
    <w:pPr>
      <w:keepNext w:val="true"/>
      <w:numPr>
        <w:ilvl w:val="0"/>
        <w:numId w:val="1"/>
      </w:numPr>
      <w:spacing w:before="120" w:after="240"/>
      <w:ind w:hanging="0" w:start="0" w:end="3430"/>
      <w:outlineLvl w:val="0"/>
    </w:pPr>
    <w:rPr>
      <w:b/>
      <w:caps/>
      <w:kern w:val="2"/>
    </w:rPr>
  </w:style>
  <w:style w:type="paragraph" w:styleId="Heading2">
    <w:name w:val="heading 2"/>
    <w:basedOn w:val="Normal"/>
    <w:next w:val="C2PlainText"/>
    <w:qFormat/>
    <w:pPr>
      <w:keepNext w:val="true"/>
      <w:numPr>
        <w:ilvl w:val="1"/>
        <w:numId w:val="1"/>
      </w:numPr>
      <w:spacing w:before="120" w:after="240"/>
      <w:ind w:hanging="0" w:start="0" w:end="3430"/>
      <w:outlineLvl w:val="1"/>
    </w:pPr>
    <w:rPr>
      <w:b/>
    </w:rPr>
  </w:style>
  <w:style w:type="paragraph" w:styleId="Heading3">
    <w:name w:val="heading 3"/>
    <w:basedOn w:val="Normal"/>
    <w:next w:val="C2PlainText"/>
    <w:qFormat/>
    <w:pPr>
      <w:keepNext w:val="true"/>
      <w:numPr>
        <w:ilvl w:val="2"/>
        <w:numId w:val="1"/>
      </w:numPr>
      <w:spacing w:before="120" w:after="240"/>
      <w:ind w:hanging="0" w:start="0" w:end="3430"/>
      <w:outlineLvl w:val="2"/>
    </w:pPr>
    <w:rPr>
      <w:b/>
    </w:rPr>
  </w:style>
  <w:style w:type="paragraph" w:styleId="Heading4">
    <w:name w:val="heading 4"/>
    <w:basedOn w:val="Normal"/>
    <w:next w:val="Normal"/>
    <w:qFormat/>
    <w:pPr>
      <w:keepNext w:val="true"/>
      <w:numPr>
        <w:ilvl w:val="3"/>
        <w:numId w:val="1"/>
      </w:numPr>
      <w:spacing w:before="240" w:after="240"/>
      <w:ind w:hanging="0" w:start="1815" w:end="0"/>
      <w:outlineLvl w:val="3"/>
    </w:pPr>
    <w:rPr>
      <w:b/>
    </w:rPr>
  </w:style>
  <w:style w:type="paragraph" w:styleId="Heading5">
    <w:name w:val="heading 5"/>
    <w:basedOn w:val="Normal"/>
    <w:next w:val="Normal"/>
    <w:qFormat/>
    <w:pPr>
      <w:numPr>
        <w:ilvl w:val="4"/>
        <w:numId w:val="1"/>
      </w:numPr>
      <w:spacing w:before="240" w:after="60"/>
      <w:ind w:hanging="0" w:start="1815" w:end="0"/>
      <w:outlineLvl w:val="4"/>
    </w:pPr>
    <w:rPr>
      <w:b/>
    </w:rPr>
  </w:style>
  <w:style w:type="paragraph" w:styleId="Heading6">
    <w:name w:val="heading 6"/>
    <w:basedOn w:val="Normal"/>
    <w:next w:val="Normal"/>
    <w:qFormat/>
    <w:pPr>
      <w:numPr>
        <w:ilvl w:val="5"/>
        <w:numId w:val="1"/>
      </w:numPr>
      <w:spacing w:before="240" w:after="60"/>
      <w:ind w:hanging="0" w:start="1815" w:end="0"/>
      <w:outlineLvl w:val="5"/>
    </w:pPr>
    <w:rPr>
      <w:i/>
      <w:sz w:val="22"/>
    </w:rPr>
  </w:style>
  <w:style w:type="paragraph" w:styleId="Heading7">
    <w:name w:val="heading 7"/>
    <w:basedOn w:val="Normal"/>
    <w:next w:val="Normal"/>
    <w:qFormat/>
    <w:pPr>
      <w:numPr>
        <w:ilvl w:val="6"/>
        <w:numId w:val="1"/>
      </w:numPr>
      <w:spacing w:before="240" w:after="60"/>
      <w:ind w:hanging="0" w:start="1815" w:end="0"/>
      <w:outlineLvl w:val="6"/>
    </w:pPr>
    <w:rPr>
      <w:rFonts w:ascii="Arial" w:hAnsi="Arial" w:cs="Arial"/>
      <w:sz w:val="20"/>
    </w:rPr>
  </w:style>
  <w:style w:type="paragraph" w:styleId="Heading8">
    <w:name w:val="heading 8"/>
    <w:basedOn w:val="Normal"/>
    <w:next w:val="Normal"/>
    <w:qFormat/>
    <w:pPr>
      <w:numPr>
        <w:ilvl w:val="7"/>
        <w:numId w:val="1"/>
      </w:numPr>
      <w:spacing w:before="240" w:after="60"/>
      <w:ind w:hanging="0" w:start="1815" w:end="0"/>
      <w:outlineLvl w:val="7"/>
    </w:pPr>
    <w:rPr>
      <w:rFonts w:ascii="Arial" w:hAnsi="Arial" w:cs="Arial"/>
      <w:i/>
      <w:sz w:val="20"/>
    </w:rPr>
  </w:style>
  <w:style w:type="paragraph" w:styleId="Heading9">
    <w:name w:val="heading 9"/>
    <w:basedOn w:val="Normal"/>
    <w:next w:val="Normal"/>
    <w:qFormat/>
    <w:pPr>
      <w:numPr>
        <w:ilvl w:val="8"/>
        <w:numId w:val="1"/>
      </w:numPr>
      <w:spacing w:before="240" w:after="60"/>
      <w:ind w:hanging="0" w:start="1815" w:end="0"/>
      <w:outlineLvl w:val="8"/>
    </w:pPr>
    <w:rPr>
      <w:rFonts w:ascii="Arial" w:hAnsi="Arial" w:cs="Arial"/>
      <w:b/>
      <w:i/>
      <w:sz w:val="18"/>
    </w:rPr>
  </w:style>
  <w:style w:type="character" w:styleId="WW8Num2z0">
    <w:name w:val="WW8Num2z0"/>
    <w:qFormat/>
    <w:rPr>
      <w:b w:val="false"/>
      <w:i w:val="false"/>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1PlainText">
    <w:name w:val="C1 Plain Text"/>
    <w:basedOn w:val="Normal"/>
    <w:qFormat/>
    <w:pPr>
      <w:spacing w:before="0" w:after="240"/>
      <w:ind w:hanging="0" w:start="1298" w:end="0"/>
      <w:jc w:val="both"/>
    </w:pPr>
    <w:rPr/>
  </w:style>
  <w:style w:type="paragraph" w:styleId="C2PlainText">
    <w:name w:val="C2 Plain Text"/>
    <w:basedOn w:val="C1PlainText"/>
    <w:qFormat/>
    <w:pPr>
      <w:ind w:hanging="0" w:start="2597" w:end="0"/>
    </w:pPr>
    <w:rPr/>
  </w:style>
  <w:style w:type="paragraph" w:styleId="HeaderandFooter">
    <w:name w:val="Header and Footer"/>
    <w:basedOn w:val="Normal"/>
    <w:qFormat/>
    <w:pPr>
      <w:suppressLineNumbers/>
      <w:tabs>
        <w:tab w:val="clear" w:pos="1298"/>
        <w:tab w:val="center" w:pos="4986" w:leader="none"/>
        <w:tab w:val="right" w:pos="9972" w:leader="none"/>
      </w:tabs>
    </w:pPr>
    <w:rPr/>
  </w:style>
  <w:style w:type="paragraph" w:styleId="Header">
    <w:name w:val="header"/>
    <w:basedOn w:val="Normal"/>
    <w:pPr>
      <w:tabs>
        <w:tab w:val="clear" w:pos="1298"/>
        <w:tab w:val="center" w:pos="4153" w:leader="none"/>
        <w:tab w:val="right" w:pos="8306" w:leader="none"/>
      </w:tabs>
    </w:pPr>
    <w:rPr/>
  </w:style>
  <w:style w:type="paragraph" w:styleId="Footer">
    <w:name w:val="footer"/>
    <w:basedOn w:val="Normal"/>
    <w:pPr>
      <w:tabs>
        <w:tab w:val="clear" w:pos="1298"/>
        <w:tab w:val="center" w:pos="4153" w:leader="none"/>
        <w:tab w:val="right" w:pos="8306" w:leader="none"/>
      </w:tabs>
    </w:pPr>
    <w:rPr/>
  </w:style>
  <w:style w:type="paragraph" w:styleId="NormalIndent">
    <w:name w:val="Normal Indent"/>
    <w:basedOn w:val="Normal"/>
    <w:qFormat/>
    <w:pPr>
      <w:ind w:hanging="0" w:start="720" w:end="0"/>
    </w:pPr>
    <w:rPr/>
  </w:style>
  <w:style w:type="paragraph" w:styleId="TOC2">
    <w:name w:val="toc 2"/>
    <w:basedOn w:val="Normal"/>
    <w:next w:val="Normal"/>
    <w:pPr>
      <w:tabs>
        <w:tab w:val="clear" w:pos="1298"/>
        <w:tab w:val="right" w:pos="9922" w:leader="none"/>
      </w:tabs>
      <w:ind w:hanging="0" w:start="200" w:end="0"/>
    </w:pPr>
    <w:rPr/>
  </w:style>
  <w:style w:type="paragraph" w:styleId="MacroText">
    <w:name w:val="Macro Text"/>
    <w:qFormat/>
    <w:pPr>
      <w:widowControl/>
      <w:tabs>
        <w:tab w:val="clear" w:pos="1298"/>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16"/>
      <w:szCs w:val="20"/>
      <w:lang w:val="en-GB" w:eastAsia="zh-CN" w:bidi="hi-IN"/>
    </w:rPr>
  </w:style>
  <w:style w:type="paragraph" w:styleId="TOC1">
    <w:name w:val="toc 1"/>
    <w:basedOn w:val="Normal"/>
    <w:next w:val="Normal"/>
    <w:pPr>
      <w:tabs>
        <w:tab w:val="clear" w:pos="1298"/>
        <w:tab w:val="left" w:pos="3402" w:leader="none"/>
        <w:tab w:val="right" w:pos="9922" w:leader="none"/>
      </w:tabs>
      <w:ind w:hanging="0" w:start="2597" w:end="0"/>
    </w:pPr>
    <w:rPr>
      <w:caps/>
    </w:rPr>
  </w:style>
  <w:style w:type="paragraph" w:styleId="TOC3">
    <w:name w:val="toc 3"/>
    <w:basedOn w:val="Normal"/>
    <w:next w:val="Normal"/>
    <w:pPr>
      <w:tabs>
        <w:tab w:val="clear" w:pos="1298"/>
        <w:tab w:val="right" w:pos="9922" w:leader="none"/>
      </w:tabs>
      <w:ind w:hanging="0" w:start="400" w:end="0"/>
    </w:pPr>
    <w:rPr/>
  </w:style>
  <w:style w:type="paragraph" w:styleId="C0PlainText">
    <w:name w:val="C0 Plain Text"/>
    <w:basedOn w:val="Normal"/>
    <w:qFormat/>
    <w:pPr>
      <w:spacing w:before="0" w:after="240"/>
      <w:jc w:val="both"/>
    </w:pPr>
    <w:rPr/>
  </w:style>
  <w:style w:type="paragraph" w:styleId="C3PlainText">
    <w:name w:val="C3 Plain Text"/>
    <w:basedOn w:val="C0PlainText"/>
    <w:qFormat/>
    <w:pPr>
      <w:ind w:hanging="0" w:start="3895" w:end="0"/>
    </w:pPr>
    <w:rPr/>
  </w:style>
  <w:style w:type="paragraph" w:styleId="ListItemC0">
    <w:name w:val="List Item C0"/>
    <w:basedOn w:val="Normal"/>
    <w:qFormat/>
    <w:pPr>
      <w:numPr>
        <w:ilvl w:val="0"/>
        <w:numId w:val="3"/>
      </w:numPr>
      <w:ind w:hanging="284" w:start="284" w:end="0"/>
    </w:pPr>
    <w:rPr/>
  </w:style>
  <w:style w:type="paragraph" w:styleId="ListItemC2">
    <w:name w:val="List Item C2"/>
    <w:basedOn w:val="Normal"/>
    <w:qFormat/>
    <w:pPr>
      <w:numPr>
        <w:ilvl w:val="0"/>
        <w:numId w:val="4"/>
      </w:numPr>
      <w:ind w:hanging="284" w:start="2881" w:end="0"/>
    </w:pPr>
    <w:rPr/>
  </w:style>
  <w:style w:type="paragraph" w:styleId="NormalC2">
    <w:name w:val="Normal C2"/>
    <w:basedOn w:val="Normal"/>
    <w:qFormat/>
    <w:pPr>
      <w:ind w:hanging="0" w:start="2597" w:end="0"/>
    </w:pPr>
    <w:rPr/>
  </w:style>
  <w:style w:type="paragraph" w:styleId="ListItemC21">
    <w:name w:val="List Item C2 +"/>
    <w:basedOn w:val="ListItemC2"/>
    <w:qFormat/>
    <w:pPr>
      <w:numPr>
        <w:ilvl w:val="0"/>
        <w:numId w:val="5"/>
      </w:numPr>
      <w:ind w:hanging="284" w:start="3164" w:end="0"/>
    </w:pPr>
    <w:rPr/>
  </w:style>
  <w:style w:type="paragraph" w:styleId="Subheading1">
    <w:name w:val="Subheading 1"/>
    <w:basedOn w:val="Normal"/>
    <w:next w:val="C2PlainText"/>
    <w:qFormat/>
    <w:pPr>
      <w:spacing w:before="120" w:after="240"/>
      <w:ind w:hanging="0" w:start="1298" w:end="3430"/>
    </w:pPr>
    <w:rPr>
      <w:b/>
    </w:rPr>
  </w:style>
  <w:style w:type="paragraph" w:styleId="Subheading2">
    <w:name w:val="Subheading 2"/>
    <w:basedOn w:val="Subheading1"/>
    <w:next w:val="C2PlainText"/>
    <w:qFormat/>
    <w:pPr>
      <w:ind w:hanging="0" w:start="2597" w:end="3430"/>
    </w:pPr>
    <w:rPr/>
  </w:style>
  <w:style w:type="paragraph" w:styleId="ListItemC1">
    <w:name w:val="List Item C1"/>
    <w:basedOn w:val="ListItemC0"/>
    <w:qFormat/>
    <w:pPr>
      <w:ind w:hanging="284" w:start="1582" w:end="0"/>
      <w:jc w:val="both"/>
    </w:pPr>
    <w:rPr/>
  </w:style>
  <w:style w:type="paragraph" w:styleId="NormalC1">
    <w:name w:val="Normal C1"/>
    <w:basedOn w:val="Normal"/>
    <w:qFormat/>
    <w:pPr>
      <w:ind w:hanging="0" w:start="1298" w:end="0"/>
    </w:pPr>
    <w:rPr>
      <w:lang w:val="fi-FI"/>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JPC_Blank.dot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2001-06-15T03:39:00Z</dcterms:created>
  <dc:creator>Unknown</dc:creator>
  <dc:description/>
  <dc:language>en-CA</dc:language>
  <cp:lastModifiedBy>Tuula Marno</cp:lastModifiedBy>
  <cp:lastPrinted>2000-02-09T09:16:00Z</cp:lastPrinted>
  <dcterms:modified xsi:type="dcterms:W3CDTF">2001-06-15T03:39:00Z</dcterms:modified>
  <cp:revision>2</cp:revision>
  <dc:subject/>
  <dc:title>Jaakko Pöyry Blank Document Template</dc:title>
</cp:coreProperties>
</file>