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cs="Arial"/>
          <w:sz w:val="22"/>
        </w:rPr>
      </w:pPr>
      <w:r>
        <w:rPr>
          <w:rFonts w:cs="Arial" w:ascii="Arial" w:hAnsi="Arial"/>
          <w:sz w:val="22"/>
        </w:rPr>
        <w:t>PIBA Workshop Notes:</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t xml:space="preserve">Jack Broadbent: </w:t>
      </w:r>
    </w:p>
    <w:p>
      <w:pPr>
        <w:pStyle w:val="Normal"/>
        <w:autoSpaceDE w:val="false"/>
        <w:rPr>
          <w:rFonts w:ascii="Arial" w:hAnsi="Arial" w:cs="Arial"/>
          <w:sz w:val="22"/>
        </w:rPr>
      </w:pPr>
      <w:r>
        <w:rPr>
          <w:rFonts w:cs="Arial" w:ascii="Arial" w:hAnsi="Arial"/>
          <w:sz w:val="22"/>
        </w:rPr>
        <w:t>Newly appointed and just "digging in". Came from SCAQMD.</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t>Wanted to focus on:</w:t>
      </w:r>
    </w:p>
    <w:p>
      <w:pPr>
        <w:pStyle w:val="Normal"/>
        <w:autoSpaceDE w:val="false"/>
        <w:rPr>
          <w:rFonts w:ascii="Arial" w:hAnsi="Arial" w:cs="Arial"/>
          <w:sz w:val="22"/>
        </w:rPr>
      </w:pPr>
      <w:r>
        <w:rPr>
          <w:rFonts w:cs="Arial" w:ascii="Arial" w:hAnsi="Arial"/>
          <w:sz w:val="22"/>
        </w:rPr>
        <w:t>* Building strong partnerships</w:t>
      </w:r>
    </w:p>
    <w:p>
      <w:pPr>
        <w:pStyle w:val="Normal"/>
        <w:autoSpaceDE w:val="false"/>
        <w:rPr>
          <w:rFonts w:ascii="Arial" w:hAnsi="Arial" w:cs="Arial"/>
          <w:sz w:val="22"/>
        </w:rPr>
      </w:pPr>
      <w:r>
        <w:rPr>
          <w:rFonts w:cs="Arial" w:ascii="Arial" w:hAnsi="Arial"/>
          <w:sz w:val="22"/>
        </w:rPr>
        <w:t>* Providing flexibility in regulations where appropriate</w:t>
      </w:r>
    </w:p>
    <w:p>
      <w:pPr>
        <w:pStyle w:val="Normal"/>
        <w:autoSpaceDE w:val="false"/>
        <w:rPr>
          <w:rFonts w:ascii="Arial" w:hAnsi="Arial" w:cs="Arial"/>
          <w:sz w:val="22"/>
        </w:rPr>
      </w:pPr>
      <w:r>
        <w:rPr>
          <w:rFonts w:cs="Arial" w:ascii="Arial" w:hAnsi="Arial"/>
          <w:sz w:val="22"/>
        </w:rPr>
        <w:t>* Decentralizing or "tailor fitting" decision making and enforcement authority (an additional $25 million more for enforcement in the budget)</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t>On Energy:</w:t>
      </w:r>
    </w:p>
    <w:p>
      <w:pPr>
        <w:pStyle w:val="Normal"/>
        <w:autoSpaceDE w:val="false"/>
        <w:rPr>
          <w:rFonts w:ascii="Arial" w:hAnsi="Arial" w:cs="Arial"/>
          <w:sz w:val="22"/>
        </w:rPr>
      </w:pPr>
      <w:r>
        <w:rPr>
          <w:rFonts w:cs="Arial" w:ascii="Arial" w:hAnsi="Arial"/>
          <w:sz w:val="22"/>
        </w:rPr>
        <w:t>* Expediting Federal Permits for peaker plants (those mentioned specifically were all located in southern CA)</w:t>
      </w:r>
    </w:p>
    <w:p>
      <w:pPr>
        <w:pStyle w:val="Normal"/>
        <w:autoSpaceDE w:val="false"/>
        <w:rPr>
          <w:rFonts w:ascii="Arial" w:hAnsi="Arial" w:cs="Arial"/>
          <w:sz w:val="22"/>
        </w:rPr>
      </w:pPr>
      <w:r>
        <w:rPr>
          <w:rFonts w:cs="Arial" w:ascii="Arial" w:hAnsi="Arial"/>
          <w:sz w:val="22"/>
        </w:rPr>
        <w:t>* Promotion of demand management: Energy Star and conservation programs</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t>On BAAQMD:</w:t>
      </w:r>
    </w:p>
    <w:p>
      <w:pPr>
        <w:pStyle w:val="Normal"/>
        <w:autoSpaceDE w:val="false"/>
        <w:rPr>
          <w:rFonts w:ascii="Arial" w:hAnsi="Arial" w:cs="Arial"/>
          <w:sz w:val="22"/>
        </w:rPr>
      </w:pPr>
      <w:r>
        <w:rPr>
          <w:rFonts w:cs="Arial" w:ascii="Arial" w:hAnsi="Arial"/>
          <w:sz w:val="22"/>
        </w:rPr>
        <w:t>* Re-designation process to result in attainment though new methods.</w:t>
      </w:r>
    </w:p>
    <w:p>
      <w:pPr>
        <w:pStyle w:val="Normal"/>
        <w:autoSpaceDE w:val="false"/>
        <w:rPr>
          <w:rFonts w:ascii="Arial" w:hAnsi="Arial" w:cs="Arial"/>
          <w:sz w:val="22"/>
        </w:rPr>
      </w:pPr>
      <w:r>
        <w:rPr>
          <w:rFonts w:cs="Arial" w:ascii="Arial" w:hAnsi="Arial"/>
          <w:sz w:val="22"/>
        </w:rPr>
        <w:t>* Plan from BAAQMD due to EPA on 8/1/01</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t>On Environmental Justice:</w:t>
      </w:r>
    </w:p>
    <w:p>
      <w:pPr>
        <w:pStyle w:val="Normal"/>
        <w:autoSpaceDE w:val="false"/>
        <w:rPr>
          <w:rFonts w:ascii="Arial" w:hAnsi="Arial" w:cs="Arial"/>
          <w:sz w:val="22"/>
        </w:rPr>
      </w:pPr>
      <w:r>
        <w:rPr>
          <w:rFonts w:cs="Arial" w:ascii="Arial" w:hAnsi="Arial"/>
          <w:sz w:val="22"/>
        </w:rPr>
        <w:t>* Comprehensive strategy to address federal-level complaints by 6/1.</w:t>
      </w:r>
    </w:p>
    <w:p>
      <w:pPr>
        <w:pStyle w:val="Normal"/>
        <w:autoSpaceDE w:val="false"/>
        <w:rPr>
          <w:rFonts w:ascii="Arial" w:hAnsi="Arial" w:cs="Arial"/>
          <w:sz w:val="22"/>
        </w:rPr>
      </w:pPr>
      <w:r>
        <w:rPr>
          <w:rFonts w:cs="Arial" w:ascii="Arial" w:hAnsi="Arial"/>
          <w:sz w:val="22"/>
        </w:rPr>
        <w:t>* Issues best ameliorated at the local level.</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t>Questions for Mr. Broadbent included:</w:t>
      </w:r>
    </w:p>
    <w:p>
      <w:pPr>
        <w:pStyle w:val="Normal"/>
        <w:autoSpaceDE w:val="false"/>
        <w:rPr>
          <w:rFonts w:ascii="Arial" w:hAnsi="Arial" w:cs="Arial"/>
          <w:sz w:val="22"/>
        </w:rPr>
      </w:pPr>
      <w:r>
        <w:rPr>
          <w:rFonts w:cs="Arial" w:ascii="Arial" w:hAnsi="Arial"/>
          <w:sz w:val="22"/>
        </w:rPr>
        <w:t>* What are some examples of partnerships?</w:t>
      </w:r>
    </w:p>
    <w:p>
      <w:pPr>
        <w:pStyle w:val="Normal"/>
        <w:autoSpaceDE w:val="false"/>
        <w:rPr>
          <w:rFonts w:ascii="Arial" w:hAnsi="Arial" w:cs="Arial"/>
          <w:sz w:val="22"/>
        </w:rPr>
      </w:pPr>
      <w:r>
        <w:rPr>
          <w:rFonts w:cs="Arial" w:ascii="Arial" w:hAnsi="Arial"/>
          <w:sz w:val="22"/>
        </w:rPr>
        <w:t>~ Working closely with CARB and AQMDs and creating an inventory of EPA regulated sources (trains, ships, trucks, etc. to direct emission reduction efforts there in support of local AQMDs.</w:t>
      </w:r>
    </w:p>
    <w:p>
      <w:pPr>
        <w:pStyle w:val="Normal"/>
        <w:autoSpaceDE w:val="false"/>
        <w:rPr>
          <w:rFonts w:ascii="Arial" w:hAnsi="Arial" w:cs="Arial"/>
          <w:sz w:val="22"/>
        </w:rPr>
      </w:pPr>
      <w:r>
        <w:rPr>
          <w:rFonts w:cs="Arial" w:ascii="Arial" w:hAnsi="Arial"/>
          <w:sz w:val="22"/>
        </w:rPr>
        <w:t>* What are the implications of the push for Nuclear Power?</w:t>
      </w:r>
    </w:p>
    <w:p>
      <w:pPr>
        <w:pStyle w:val="Normal"/>
        <w:autoSpaceDE w:val="false"/>
        <w:rPr>
          <w:rFonts w:ascii="Arial" w:hAnsi="Arial" w:cs="Arial"/>
          <w:sz w:val="22"/>
        </w:rPr>
      </w:pPr>
      <w:r>
        <w:rPr>
          <w:rFonts w:cs="Arial" w:ascii="Arial" w:hAnsi="Arial"/>
          <w:sz w:val="22"/>
        </w:rPr>
        <w:t>~ The same issues facing us now, notably locations for waste storage.</w:t>
      </w:r>
    </w:p>
    <w:p>
      <w:pPr>
        <w:pStyle w:val="Normal"/>
        <w:autoSpaceDE w:val="false"/>
        <w:rPr>
          <w:rFonts w:ascii="Arial" w:hAnsi="Arial" w:cs="Arial"/>
          <w:sz w:val="22"/>
        </w:rPr>
      </w:pPr>
      <w:r>
        <w:rPr>
          <w:rFonts w:cs="Arial" w:ascii="Arial" w:hAnsi="Arial"/>
          <w:sz w:val="22"/>
        </w:rPr>
        <w:t>* What are the merits of Clean Diesel or fuel cell technology for fleet retrofits?</w:t>
      </w:r>
    </w:p>
    <w:p>
      <w:pPr>
        <w:pStyle w:val="Normal"/>
        <w:autoSpaceDE w:val="false"/>
        <w:rPr>
          <w:rFonts w:ascii="Arial" w:hAnsi="Arial" w:cs="Arial"/>
          <w:sz w:val="22"/>
        </w:rPr>
      </w:pPr>
      <w:r>
        <w:rPr>
          <w:rFonts w:cs="Arial" w:ascii="Arial" w:hAnsi="Arial"/>
          <w:sz w:val="22"/>
        </w:rPr>
        <w:t>~ He would like to see large fleets (such as the Post office) converted to such cleaner fuel technologies.</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t>Ed Lowry, DTSC</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t>Reviewed scope of DTSC charter which includes: implementation and management of RCRA/CERCLA permits, enforcement, clean-up oversight, Science-P2-Technology (SPPT or “spit” program) that includes their labs, testing and QA, oversight of CUPAs, Universal Wastes, HHW programs and gate-keeper for school siting projects.</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t>On Universal Waste program:</w:t>
      </w:r>
    </w:p>
    <w:p>
      <w:pPr>
        <w:pStyle w:val="Normal"/>
        <w:autoSpaceDE w:val="false"/>
        <w:rPr>
          <w:rFonts w:ascii="Arial" w:hAnsi="Arial" w:cs="Arial"/>
          <w:sz w:val="22"/>
        </w:rPr>
      </w:pPr>
      <w:r>
        <w:rPr>
          <w:rFonts w:cs="Arial" w:ascii="Arial" w:hAnsi="Arial"/>
          <w:sz w:val="22"/>
        </w:rPr>
        <w:t xml:space="preserve">Don’t currently have a good infrastructure for management of universal wastes.  The situation is even worse for the CRTs and electronics waste. </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t>On CRTs – Hazardous waste or what?</w:t>
      </w:r>
    </w:p>
    <w:p>
      <w:pPr>
        <w:pStyle w:val="Normal"/>
        <w:autoSpaceDE w:val="false"/>
        <w:rPr>
          <w:rFonts w:ascii="Arial" w:hAnsi="Arial" w:cs="Arial"/>
          <w:sz w:val="22"/>
        </w:rPr>
      </w:pPr>
      <w:r>
        <w:rPr>
          <w:rFonts w:cs="Arial" w:ascii="Arial" w:hAnsi="Arial"/>
          <w:sz w:val="22"/>
        </w:rPr>
        <w:t>DTSC is working on emergency regulations to be up for comment in the July timeframe.  DTSC is working with CIWMB and following the UWR as a model.  CRTs will be considered “hazardous” only when no reuse is possible.  They seek to encourage recycling, product stewardship and product take-backs.  Some permit will be required for facilities doing CRT reclamation/recycling work.</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t>On Clean-up oversight and process:</w:t>
      </w:r>
    </w:p>
    <w:p>
      <w:pPr>
        <w:pStyle w:val="Normal"/>
        <w:autoSpaceDE w:val="false"/>
        <w:rPr>
          <w:rFonts w:ascii="Arial" w:hAnsi="Arial" w:cs="Arial"/>
          <w:sz w:val="22"/>
        </w:rPr>
      </w:pPr>
      <w:r>
        <w:rPr>
          <w:rFonts w:cs="Arial" w:ascii="Arial" w:hAnsi="Arial"/>
          <w:sz w:val="22"/>
        </w:rPr>
        <w:t>Should be a single, straightforward process for clean-ups that is uniform between corrective action sites and superfund sites.  Proposed regulations for this will be out for comment in August.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On Fines:</w:t>
      </w:r>
    </w:p>
    <w:p>
      <w:pPr>
        <w:pStyle w:val="Normal"/>
        <w:rPr>
          <w:rFonts w:ascii="Arial" w:hAnsi="Arial" w:cs="Arial"/>
          <w:sz w:val="22"/>
        </w:rPr>
      </w:pPr>
      <w:r>
        <w:rPr>
          <w:rFonts w:cs="Arial" w:ascii="Arial" w:hAnsi="Arial"/>
          <w:sz w:val="22"/>
        </w:rPr>
        <w:t>Will DTSC continue to impose fines for potential harm as well as actual harm?  Yes.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On Management Memos:</w:t>
      </w:r>
    </w:p>
    <w:p>
      <w:pPr>
        <w:pStyle w:val="Normal"/>
        <w:rPr>
          <w:rFonts w:ascii="Arial" w:hAnsi="Arial" w:cs="Arial"/>
          <w:sz w:val="22"/>
        </w:rPr>
      </w:pPr>
      <w:r>
        <w:rPr>
          <w:rFonts w:cs="Arial" w:ascii="Arial" w:hAnsi="Arial"/>
          <w:sz w:val="22"/>
        </w:rPr>
        <w:t>Many of these memos are very outdated – going back to the 1980s.  The thought at this time is that they should either be made “official” regulation if that is the purpose they are serving, or they should be deleted because they are obsolete.  There is a list of “delete or modify” memos on the DTSC web site.  DTSC would like comments (i.e. go ahead and delete, modify as follows…, or make official regulation).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DTSC will be publishing its internal assessment of its environmental indicators.  This report will be complete in August.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On Pollution Prevention:</w:t>
      </w:r>
    </w:p>
    <w:p>
      <w:pPr>
        <w:pStyle w:val="Normal"/>
        <w:rPr>
          <w:rFonts w:ascii="Arial" w:hAnsi="Arial" w:cs="Arial"/>
          <w:sz w:val="22"/>
        </w:rPr>
      </w:pPr>
      <w:r>
        <w:rPr>
          <w:rFonts w:cs="Arial" w:ascii="Arial" w:hAnsi="Arial"/>
          <w:sz w:val="22"/>
        </w:rPr>
        <w:t>DTSC is preparing a 2 year plan.  The final report is expected in April of 2002 and will focus on Auto Maintenance facilities and Oil refineries.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On the CLEAN program:</w:t>
      </w:r>
    </w:p>
    <w:p>
      <w:pPr>
        <w:pStyle w:val="Normal"/>
        <w:rPr>
          <w:rFonts w:ascii="Arial" w:hAnsi="Arial" w:cs="Arial"/>
          <w:sz w:val="22"/>
        </w:rPr>
      </w:pPr>
      <w:r>
        <w:rPr>
          <w:rFonts w:cs="Arial" w:ascii="Arial" w:hAnsi="Arial"/>
          <w:sz w:val="22"/>
        </w:rPr>
        <w:t>The is a Brownfields loan program which offers low interest loans for investigation of “Urban” sites (not necessarily contaminated sites) that may be contaminated due to their urban location.  Loans to investigate (phase I/II) up to $150K. Loans to develop up to $250M.  If initial investigation indicates the necessary remediation will be to costly to make development of the property cost-effective, a portion of the loan will be forgiven.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Ellen Garvey, APCO – BAAQMD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Reviewed current issues at BAAQMD including:</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Ozone Standard (federal):</w:t>
      </w:r>
    </w:p>
    <w:p>
      <w:pPr>
        <w:pStyle w:val="Normal"/>
        <w:rPr>
          <w:rFonts w:ascii="Arial" w:hAnsi="Arial" w:cs="Arial"/>
          <w:sz w:val="22"/>
        </w:rPr>
      </w:pPr>
      <w:r>
        <w:rPr>
          <w:rFonts w:cs="Arial" w:ascii="Arial" w:hAnsi="Arial"/>
          <w:sz w:val="22"/>
        </w:rPr>
        <w:t xml:space="preserve">1999 non-attainment for 1 hour ozone standard.  EPA says: not more than 1 ozone standard violation at any station.  There were 2 at Livermore.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BAAQMD is drafting an amended plan.  This will be reviewed at a public workshop on May 30 at 1:30 in Oakland.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BAAQMD expects to attain the standard within the next 5 years.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It is an interesting point that Reactive Organic Gasses (ROG) reductions have the two part benefit of reducing toxics and bringing down Ozone in our region.  However, Nox reductions are of the greatest benefit to down-wind districts.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It looks as if we will not be in attainment for the PM10 standard, and there is still insufficient data to evaluate compliance with the PM 2.5 standard.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BAAQMD has identified “Smart Growth” as one of the most important programs for their efforts.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Their increased efforts on environmental justice include multi-language announcements, and a variety of community out-reach programs.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BAAQMD is also partnering with the ARB to set up a dioxin monitoring network.</w:t>
      </w:r>
    </w:p>
    <w:p>
      <w:pPr>
        <w:pStyle w:val="Normal"/>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2001-05-21T20:35:00Z</dcterms:created>
  <dc:creator>Authorized User</dc:creator>
  <dc:description/>
  <dc:language>en-CA</dc:language>
  <cp:lastModifiedBy>Authorized User</cp:lastModifiedBy>
  <dcterms:modified xsi:type="dcterms:W3CDTF">2001-05-21T21:35:00Z</dcterms:modified>
  <cp:revision>3</cp:revision>
  <dc:subject/>
  <dc:title>Jack Broadbent: </dc:title>
</cp:coreProperties>
</file>