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  <w:t>May 5, 2000</w:t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Andrea A. Biren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Administrative Law Judge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California Public Utilities Commission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505 Van Ness Avenue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San Francisco, CA 94102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>
          <w:b/>
        </w:rPr>
      </w:pPr>
      <w:r>
        <w:rPr/>
        <w:tab/>
        <w:t>RE:</w:t>
        <w:tab/>
      </w:r>
      <w:r>
        <w:rPr>
          <w:b/>
        </w:rPr>
        <w:t>Prepared Rebuttal Testimony, I.99-07-003</w:t>
      </w:r>
    </w:p>
    <w:p>
      <w:pPr>
        <w:pStyle w:val="Normal"/>
        <w:bidi w:val="0"/>
        <w:spacing w:lineRule="auto" w:line="240"/>
        <w:ind w:hanging="0" w:start="0" w:end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Honorable Judge Biren: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 xml:space="preserve">Enclosed please find the Prepared Rebuttal Testimonies of Michel Peter Florio, James Weil, and Catherine E. Yap in support of the Post-Interim Settlement Agreement, premarked as Exhibit 102. 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Sincerely yours,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Norman Pedersen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Attorney for Southern California Generation Coalition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Cc:</w:t>
        <w:tab/>
        <w:t>All Parties in I.99-07-003 (by email and hard copy)</w:t>
        <w:b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  <w:t>Enclosure</w:t>
      </w:r>
    </w:p>
    <w:p>
      <w:pPr>
        <w:pStyle w:val="Normal"/>
        <w:bidi w:val="0"/>
        <w:spacing w:lineRule="auto" w:line="240"/>
        <w:ind w:firstLine="4320" w:start="0" w:end="0"/>
        <w:jc w:val="start"/>
        <w:rPr/>
      </w:pPr>
      <w:r>
        <w:rPr/>
      </w:r>
      <w:r>
        <w:br w:type="page"/>
      </w:r>
    </w:p>
    <w:p>
      <w:pPr>
        <w:pStyle w:val="Normal"/>
        <w:bidi w:val="0"/>
        <w:spacing w:lineRule="auto" w:line="240"/>
        <w:ind w:hanging="0" w:start="4320" w:end="0"/>
        <w:jc w:val="start"/>
        <w:rPr>
          <w:u w:val="single"/>
        </w:rPr>
      </w:pPr>
      <w:r>
        <w:rPr/>
        <w:t xml:space="preserve">Investigation No.  </w:t>
        <w:tab/>
      </w:r>
      <w:r>
        <w:rPr>
          <w:u w:val="single"/>
        </w:rPr>
        <w:t>99-07-003</w:t>
      </w:r>
    </w:p>
    <w:p>
      <w:pPr>
        <w:pStyle w:val="Normal"/>
        <w:bidi w:val="0"/>
        <w:spacing w:lineRule="auto" w:line="240"/>
        <w:ind w:firstLine="720" w:start="3600" w:end="0"/>
        <w:jc w:val="start"/>
        <w:rPr>
          <w:u w:val="single"/>
        </w:rPr>
      </w:pPr>
      <w:r>
        <w:rPr/>
        <w:t>Exhibit No.</w:t>
        <w:tab/>
        <w:tab/>
      </w:r>
      <w:r>
        <w:rPr>
          <w:u w:val="single"/>
        </w:rPr>
        <w:t>102</w:t>
      </w:r>
    </w:p>
    <w:p>
      <w:pPr>
        <w:pStyle w:val="Normal"/>
        <w:bidi w:val="0"/>
        <w:spacing w:lineRule="auto" w:line="240"/>
        <w:ind w:firstLine="720" w:start="3600" w:end="0"/>
        <w:jc w:val="start"/>
        <w:rPr>
          <w:u w:val="single"/>
        </w:rPr>
      </w:pPr>
      <w:r>
        <w:rPr/>
        <w:t>Date:</w:t>
        <w:tab/>
        <w:tab/>
        <w:tab/>
      </w:r>
      <w:r>
        <w:rPr>
          <w:u w:val="single"/>
        </w:rPr>
        <w:t>May 5, 2000</w:t>
      </w:r>
    </w:p>
    <w:p>
      <w:pPr>
        <w:pStyle w:val="Normal"/>
        <w:bidi w:val="0"/>
        <w:spacing w:lineRule="auto" w:line="240"/>
        <w:ind w:hanging="0" w:start="4320" w:end="0"/>
        <w:jc w:val="start"/>
        <w:rPr>
          <w:u w:val="single"/>
        </w:rPr>
      </w:pPr>
      <w:r>
        <w:rPr/>
        <w:t>Witnesses:</w:t>
        <w:tab/>
        <w:tab/>
      </w:r>
      <w:r>
        <w:rPr>
          <w:u w:val="single"/>
        </w:rPr>
        <w:t>Michel Peter Florio</w:t>
      </w:r>
    </w:p>
    <w:p>
      <w:pPr>
        <w:pStyle w:val="Normal"/>
        <w:bidi w:val="0"/>
        <w:spacing w:lineRule="auto" w:line="240"/>
        <w:ind w:firstLine="720" w:start="3600" w:end="0"/>
        <w:jc w:val="start"/>
        <w:rPr>
          <w:u w:val="single"/>
        </w:rPr>
      </w:pPr>
      <w:r>
        <w:rPr/>
        <w:tab/>
        <w:tab/>
        <w:tab/>
      </w:r>
      <w:r>
        <w:rPr>
          <w:u w:val="single"/>
        </w:rPr>
        <w:t>James Weil</w:t>
      </w:r>
    </w:p>
    <w:p>
      <w:pPr>
        <w:pStyle w:val="Normal"/>
        <w:bidi w:val="0"/>
        <w:spacing w:lineRule="auto" w:line="240"/>
        <w:ind w:firstLine="720" w:start="3600" w:end="0"/>
        <w:jc w:val="start"/>
        <w:rPr>
          <w:u w:val="single"/>
        </w:rPr>
      </w:pPr>
      <w:r>
        <w:rPr/>
        <w:tab/>
        <w:tab/>
        <w:tab/>
      </w:r>
      <w:r>
        <w:rPr>
          <w:u w:val="single"/>
        </w:rPr>
        <w:t>Catherine E. Yap</w:t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pBdr>
          <w:bottom w:val="single" w:sz="12" w:space="1" w:color="000000"/>
        </w:pBdr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Heading4"/>
        <w:numPr>
          <w:ilvl w:val="0"/>
          <w:numId w:val="0"/>
        </w:numPr>
        <w:bidi w:val="0"/>
        <w:spacing w:lineRule="auto" w:line="240"/>
        <w:ind w:hanging="0" w:start="0"/>
        <w:jc w:val="center"/>
        <w:outlineLvl w:val="3"/>
        <w:rPr>
          <w:b w:val="false"/>
          <w:sz w:val="28"/>
        </w:rPr>
      </w:pPr>
      <w:r>
        <w:rPr>
          <w:b w:val="false"/>
          <w:sz w:val="28"/>
        </w:rPr>
        <w:t>Prepared Rebuttal Testimonies of</w:t>
      </w:r>
    </w:p>
    <w:p>
      <w:pPr>
        <w:pStyle w:val="Normal"/>
        <w:bidi w:val="0"/>
        <w:spacing w:lineRule="auto" w:line="480"/>
        <w:ind w:hanging="0" w:start="0" w:end="0"/>
        <w:jc w:val="center"/>
        <w:rPr>
          <w:sz w:val="28"/>
        </w:rPr>
      </w:pPr>
      <w:r>
        <w:rPr>
          <w:sz w:val="28"/>
        </w:rPr>
      </w:r>
    </w:p>
    <w:p>
      <w:pPr>
        <w:pStyle w:val="Heading5"/>
        <w:numPr>
          <w:ilvl w:val="0"/>
          <w:numId w:val="0"/>
        </w:numPr>
        <w:bidi w:val="0"/>
        <w:spacing w:lineRule="auto" w:line="240"/>
        <w:ind w:hanging="0" w:start="0"/>
        <w:outlineLvl w:val="4"/>
        <w:rPr/>
      </w:pPr>
      <w:r>
        <w:rPr/>
        <w:t>Michel Peter Florio</w:t>
      </w:r>
    </w:p>
    <w:p>
      <w:pPr>
        <w:pStyle w:val="Heading4"/>
        <w:numPr>
          <w:ilvl w:val="0"/>
          <w:numId w:val="0"/>
        </w:numPr>
        <w:bidi w:val="0"/>
        <w:spacing w:lineRule="auto" w:line="240"/>
        <w:ind w:hanging="0" w:start="0"/>
        <w:jc w:val="center"/>
        <w:outlineLvl w:val="3"/>
        <w:rPr>
          <w:sz w:val="28"/>
        </w:rPr>
      </w:pPr>
      <w:r>
        <w:rPr>
          <w:sz w:val="28"/>
        </w:rPr>
        <w:t>James Weil, and</w:t>
      </w:r>
    </w:p>
    <w:p>
      <w:pPr>
        <w:pStyle w:val="Heading4"/>
        <w:numPr>
          <w:ilvl w:val="0"/>
          <w:numId w:val="0"/>
        </w:numPr>
        <w:bidi w:val="0"/>
        <w:spacing w:lineRule="auto" w:line="240"/>
        <w:ind w:hanging="0" w:start="0"/>
        <w:jc w:val="center"/>
        <w:outlineLvl w:val="3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Catherine E. Yap</w:t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40"/>
        <w:ind w:hanging="0" w:start="0" w:end="0"/>
        <w:jc w:val="end"/>
        <w:rPr>
          <w:sz w:val="28"/>
        </w:rPr>
      </w:pPr>
      <w:r>
        <w:rPr>
          <w:sz w:val="28"/>
        </w:rPr>
        <w:t>On Behalf of</w:t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  <w:sz w:val="28"/>
        </w:rPr>
      </w:pPr>
      <w:r>
        <w:rPr>
          <w:b/>
          <w:sz w:val="28"/>
        </w:rPr>
        <w:t>The Utility Reform Network</w:t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  <w:sz w:val="28"/>
        </w:rPr>
      </w:pPr>
      <w:r>
        <w:rPr>
          <w:b/>
          <w:sz w:val="28"/>
        </w:rPr>
        <w:t>Aglet Consumer Alliance</w:t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  <w:sz w:val="28"/>
        </w:rPr>
      </w:pPr>
      <w:r>
        <w:rPr>
          <w:b/>
          <w:sz w:val="28"/>
        </w:rPr>
        <w:t>Southern California Generation Coalition</w:t>
      </w:r>
    </w:p>
    <w:p>
      <w:pPr>
        <w:pStyle w:val="BodyText2"/>
        <w:bidi w:val="0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City of Burbank</w:t>
      </w:r>
    </w:p>
    <w:p>
      <w:pPr>
        <w:pStyle w:val="BodyText2"/>
        <w:bidi w:val="0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City of Glendale</w:t>
      </w:r>
    </w:p>
    <w:p>
      <w:pPr>
        <w:pStyle w:val="BodyText2"/>
        <w:bidi w:val="0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City of Pasadena</w:t>
      </w:r>
    </w:p>
    <w:p>
      <w:pPr>
        <w:pStyle w:val="BodyText2"/>
        <w:bidi w:val="0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Imperial Irrigation District</w:t>
      </w:r>
    </w:p>
    <w:p>
      <w:pPr>
        <w:pStyle w:val="BodyText2"/>
        <w:bidi w:val="0"/>
        <w:spacing w:lineRule="auto" w:line="240"/>
        <w:ind w:hanging="2160" w:start="2880" w:end="0"/>
        <w:jc w:val="end"/>
        <w:rPr>
          <w:b/>
          <w:sz w:val="28"/>
        </w:rPr>
      </w:pPr>
      <w:r>
        <w:rPr>
          <w:b/>
          <w:sz w:val="28"/>
        </w:rPr>
        <w:t>Los Angeles Department of Water and Power</w:t>
      </w:r>
    </w:p>
    <w:p>
      <w:pPr>
        <w:pStyle w:val="BodyText2"/>
        <w:bidi w:val="0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Reliant Energy Power Generation</w:t>
      </w:r>
    </w:p>
    <w:p>
      <w:pPr>
        <w:pStyle w:val="BodyText2"/>
        <w:bidi w:val="0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Southern California Utility Power Pool</w:t>
      </w:r>
    </w:p>
    <w:p>
      <w:pPr>
        <w:pStyle w:val="BodyText2"/>
        <w:bidi w:val="0"/>
        <w:spacing w:lineRule="auto" w:line="240"/>
        <w:jc w:val="end"/>
        <w:rPr>
          <w:b/>
        </w:rPr>
      </w:pPr>
      <w:r>
        <w:rPr>
          <w:b/>
          <w:sz w:val="28"/>
        </w:rPr>
        <w:t>Williams Energy Services</w:t>
      </w:r>
    </w:p>
    <w:p>
      <w:pPr>
        <w:pStyle w:val="Normal"/>
        <w:bidi w:val="0"/>
        <w:spacing w:lineRule="auto" w:line="240"/>
        <w:ind w:hanging="0" w:start="0" w:end="0"/>
        <w:jc w:val="end"/>
        <w:rPr>
          <w:sz w:val="28"/>
        </w:rPr>
      </w:pPr>
      <w:r>
        <w:rPr>
          <w:sz w:val="28"/>
        </w:rPr>
      </w:r>
    </w:p>
    <w:p>
      <w:pPr>
        <w:pStyle w:val="Normal"/>
        <w:bidi w:val="0"/>
        <w:spacing w:lineRule="auto" w:line="240"/>
        <w:ind w:hanging="0" w:start="0" w:end="0"/>
        <w:jc w:val="end"/>
        <w:rPr>
          <w:sz w:val="28"/>
        </w:rPr>
      </w:pPr>
      <w:r>
        <w:rPr>
          <w:sz w:val="28"/>
        </w:rPr>
      </w:r>
    </w:p>
    <w:p>
      <w:pPr>
        <w:pStyle w:val="Heading4"/>
        <w:numPr>
          <w:ilvl w:val="0"/>
          <w:numId w:val="0"/>
        </w:numPr>
        <w:bidi w:val="0"/>
        <w:spacing w:lineRule="auto" w:line="240"/>
        <w:ind w:hanging="0" w:start="0"/>
        <w:jc w:val="end"/>
        <w:outlineLvl w:val="3"/>
        <w:rPr>
          <w:b w:val="false"/>
          <w:sz w:val="28"/>
        </w:rPr>
      </w:pPr>
      <w:r>
        <w:rPr>
          <w:b w:val="false"/>
          <w:sz w:val="28"/>
        </w:rPr>
        <w:t>In Support of the Post-Interim Settlement Agreement</w:t>
      </w:r>
    </w:p>
    <w:p>
      <w:pPr>
        <w:pStyle w:val="BodyText"/>
        <w:bidi w:val="0"/>
        <w:spacing w:lineRule="auto" w:line="240"/>
        <w:jc w:val="end"/>
        <w:rPr>
          <w:sz w:val="28"/>
        </w:rPr>
      </w:pPr>
      <w:r>
        <w:rPr>
          <w:sz w:val="28"/>
        </w:rPr>
        <w:t>Addressing the Costs and Benefits of Various Promising Revisions</w:t>
      </w:r>
    </w:p>
    <w:p>
      <w:pPr>
        <w:pStyle w:val="BodyText"/>
        <w:bidi w:val="0"/>
        <w:spacing w:lineRule="auto" w:line="240"/>
        <w:jc w:val="end"/>
        <w:rPr>
          <w:sz w:val="28"/>
        </w:rPr>
      </w:pPr>
      <w:r>
        <w:rPr>
          <w:sz w:val="28"/>
        </w:rPr>
        <w:t>to the Regulatory and Market Structure in Southern California</w:t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bidi w:val="0"/>
        <w:spacing w:lineRule="auto" w:line="240"/>
        <w:ind w:hanging="0" w:start="0" w:end="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bottom w:val="single" w:sz="12" w:space="1" w:color="000000"/>
        </w:pBdr>
        <w:bidi w:val="0"/>
        <w:spacing w:lineRule="auto" w:line="240"/>
        <w:ind w:hanging="0" w:start="0" w:end="0"/>
        <w:jc w:val="end"/>
        <w:rPr/>
      </w:pPr>
      <w:r>
        <w:rPr/>
        <w:t>May 5, 2000</w:t>
      </w:r>
    </w:p>
    <w:p>
      <w:pPr>
        <w:pStyle w:val="Normal"/>
        <w:bidi w:val="0"/>
        <w:spacing w:lineRule="auto" w:line="480"/>
        <w:ind w:hanging="0" w:start="0" w:end="0"/>
        <w:jc w:val="start"/>
        <w:rPr/>
      </w:pPr>
      <w:r>
        <w:rPr/>
      </w:r>
    </w:p>
    <w:p>
      <w:pPr>
        <w:pStyle w:val="Normal"/>
        <w:bidi w:val="0"/>
        <w:spacing w:lineRule="auto" w:line="240"/>
        <w:ind w:hanging="0" w:start="0" w:end="0"/>
        <w:jc w:val="center"/>
        <w:rPr>
          <w:b/>
        </w:rPr>
      </w:pPr>
      <w:r>
        <w:rPr>
          <w:b/>
        </w:rPr>
        <w:t xml:space="preserve">BEFORE THE PUBLIC UTILITIES COMMISSION </w:t>
      </w:r>
    </w:p>
    <w:p>
      <w:pPr>
        <w:pStyle w:val="Normal"/>
        <w:bidi w:val="0"/>
        <w:spacing w:lineRule="auto" w:line="240"/>
        <w:ind w:hanging="0" w:start="0" w:end="0"/>
        <w:jc w:val="center"/>
        <w:rPr/>
      </w:pPr>
      <w:r>
        <w:rPr>
          <w:b/>
        </w:rPr>
        <w:t>OF THE STATE OF CALIFORNIA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  <w:rPr/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  <w:rPr/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  <w:rPr/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  <w:rPr/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480"/>
      <w:jc w:val="start"/>
      <w:textAlignment w:val="auto"/>
    </w:pPr>
    <w:rPr>
      <w:rFonts w:ascii="Arial" w:hAnsi="Arial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lineRule="auto" w:line="240" w:before="240" w:after="60"/>
      <w:ind w:hanging="0" w:start="0" w:end="0"/>
      <w:jc w:val="start"/>
      <w:textAlignment w:val="auto"/>
    </w:pPr>
    <w:rPr>
      <w:rFonts w:ascii="Arial" w:hAnsi="Arial"/>
      <w:b/>
      <w:caps/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1080" w:leader="none"/>
      </w:tabs>
      <w:spacing w:lineRule="auto" w:line="480" w:before="240" w:after="60"/>
      <w:ind w:hanging="0" w:start="720" w:end="0"/>
      <w:jc w:val="start"/>
      <w:textAlignment w:val="auto"/>
    </w:pPr>
    <w:rPr>
      <w:rFonts w:ascii="Arial" w:hAnsi="Arial"/>
      <w:b/>
      <w:smallCaps/>
      <w:sz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left" w:pos="1800" w:leader="none"/>
      </w:tabs>
      <w:spacing w:lineRule="auto" w:line="240" w:before="240" w:after="60"/>
      <w:ind w:hanging="0" w:start="1440" w:end="0"/>
      <w:jc w:val="start"/>
      <w:textAlignment w:val="auto"/>
    </w:pPr>
    <w:rPr>
      <w:rFonts w:ascii="Arial" w:hAnsi="Arial"/>
      <w:b/>
      <w:i/>
      <w:sz w:val="24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spacing w:lineRule="auto" w:line="480"/>
      <w:ind w:hanging="0" w:start="0" w:end="0"/>
      <w:jc w:val="end"/>
      <w:textAlignment w:val="auto"/>
    </w:pPr>
    <w:rPr>
      <w:rFonts w:ascii="Arial" w:hAnsi="Arial"/>
      <w:b/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widowControl/>
      <w:spacing w:lineRule="auto" w:line="240"/>
      <w:ind w:hanging="0" w:start="0" w:end="0"/>
      <w:jc w:val="center"/>
      <w:textAlignment w:val="auto"/>
    </w:pPr>
    <w:rPr>
      <w:rFonts w:ascii="Arial" w:hAnsi="Arial"/>
      <w:b/>
      <w:sz w:val="28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/>
      <w:ind w:hanging="0" w:start="0" w:end="0"/>
      <w:jc w:val="end"/>
      <w:textAlignment w:val="auto"/>
    </w:pPr>
    <w:rPr>
      <w:rFonts w:ascii="Arial" w:hAnsi="Arial"/>
      <w:sz w:val="24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widowControl/>
      <w:spacing w:lineRule="auto" w:line="240"/>
      <w:ind w:hanging="0" w:start="0" w:end="0"/>
      <w:jc w:val="start"/>
      <w:textAlignment w:val="auto"/>
    </w:pPr>
    <w:rPr>
      <w:rFonts w:ascii="Arial" w:hAnsi="Arial"/>
      <w:sz w:val="20"/>
      <w:lang w:val="en-US" w:eastAsia="en-US"/>
    </w:rPr>
  </w:style>
  <w:style w:type="paragraph" w:styleId="BodyText2">
    <w:name w:val="Body Text 2"/>
    <w:basedOn w:val="Normal"/>
    <w:qFormat/>
    <w:pPr>
      <w:widowControl/>
      <w:spacing w:lineRule="auto" w:line="480"/>
      <w:ind w:firstLine="720" w:start="0" w:end="0"/>
      <w:jc w:val="start"/>
      <w:textAlignment w:val="auto"/>
    </w:pPr>
    <w:rPr>
      <w:rFonts w:ascii="Arial" w:hAnsi="Arial"/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199</Words>
  <Characters>1398</Characters>
  <CharactersWithSpaces>1139</CharactersWithSpaces>
  <Company>TURN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2000-05-19T13:48:00Z</dcterms:created>
  <dc:creator>Marcel Hawiger</dc:creator>
  <dc:description/>
  <dc:language>en-CA</dc:language>
  <cp:lastModifiedBy/>
  <cp:lastPrinted>2000-05-05T21:28:00Z</cp:lastPrinted>
  <dcterms:modified xsi:type="dcterms:W3CDTF">2000-05-19T13:48:00Z</dcterms:modified>
  <cp:revision>2</cp:revision>
  <dc:subject/>
  <dc:title>BEFORE THE PUBLIC UTILITIES COMMISSION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Catherine E.  Yap</vt:lpwstr>
  </property>
</Properties>
</file>