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tabs>
          <w:tab w:val="clear" w:pos="720"/>
          <w:tab w:val="left" w:pos="5220" w:leader="none"/>
        </w:tabs>
        <w:ind w:end="1080"/>
        <w:jc w:val="start"/>
        <w:rPr/>
      </w:pPr>
      <w:r>
        <w:rPr/>
        <w:tab/>
        <w:t>January 17, 2002</w:t>
      </w:r>
    </w:p>
    <w:p>
      <w:pPr>
        <w:pStyle w:val="Recipient"/>
        <w:rPr/>
      </w:pPr>
      <w:r>
        <w:rPr/>
        <w:t>Jeffrey McMahon</w:t>
        <w:br/>
        <w:t>Enron Corp.</w:t>
        <w:br/>
        <w:t>1400 Smith Street</w:t>
        <w:br/>
        <w:t>Houston, Texas 77002</w:t>
      </w:r>
    </w:p>
    <w:p>
      <w:pPr>
        <w:pStyle w:val="Salutation"/>
        <w:rPr/>
      </w:pPr>
      <w:r>
        <w:rPr/>
        <w:t>Dear Jeff:</w:t>
      </w:r>
    </w:p>
    <w:p>
      <w:pPr>
        <w:pStyle w:val="BodyText"/>
        <w:rPr/>
      </w:pPr>
      <w:r>
        <w:rPr/>
        <w:t>This will confirm our joint belief in the desirability of seconding certain employees to Enron to help with the wind-down of the Estate’s trading book so that their obligations during the wind-down period will be to the Estate only.  While other UBS employees will also be involved in providing services, we feel more comfortable having dedicated employees subject only to the Estate’s direction and control for this interim period.</w:t>
      </w:r>
    </w:p>
    <w:p>
      <w:pPr>
        <w:pStyle w:val="BodyText"/>
        <w:rPr/>
      </w:pPr>
      <w:r>
        <w:rPr/>
        <w:t>During their secondment to the Estate, UBS’s employees obviously would not be subject to the internal policy that UBS intends to establish for this business unit, which policy will prohibit UBS’s personnel during the wind-down of the Estate’s trading book from inducing Enron customers to terminate pre-existing Enron contracts or discussing termination of the pre-existing Enron contracts with those counterparties.</w:t>
      </w:r>
    </w:p>
    <w:p>
      <w:pPr>
        <w:pStyle w:val="BodyText"/>
        <w:rPr/>
      </w:pPr>
      <w:r>
        <w:rPr/>
        <w:t>Nothing herein shall alter the legal rights and obligations of UBS and Enron.</w:t>
      </w:r>
    </w:p>
    <w:p>
      <w:pPr>
        <w:pStyle w:val="BodyText"/>
        <w:rPr/>
      </w:pPr>
      <w:r>
        <w:rPr/>
      </w:r>
    </w:p>
    <w:p>
      <w:pPr>
        <w:pStyle w:val="BodyText"/>
        <w:spacing w:before="0" w:after="240"/>
        <w:ind w:firstLine="1440" w:start="0" w:end="0"/>
        <w:rPr/>
      </w:pPr>
      <w:r>
        <w:rPr/>
      </w:r>
    </w:p>
    <w:sectPr>
      <w:headerReference w:type="default" r:id="rId2"/>
      <w:headerReference w:type="first" r:id="rId3"/>
      <w:footerReference w:type="default" r:id="rId4"/>
      <w:footerReference w:type="first" r:id="rId5"/>
      <w:type w:val="nextPage"/>
      <w:pgSz w:w="12240" w:h="15840"/>
      <w:pgMar w:left="1800" w:right="1800" w:gutter="0" w:header="36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altName w:val="Arial"/>
    <w:charset w:val="00" w:characterSet="windows-1252"/>
    <w:family w:val="swiss"/>
    <w:pitch w:val="variable"/>
  </w:font>
  <w:font w:name="Humanst521 Lt BT">
    <w:altName w:val="Palatino"/>
    <w:charset w:val="00" w:characterSet="windows-1252"/>
    <w:family w:val="roman"/>
    <w:pitch w:val="variable"/>
  </w:font>
  <w:font w:name="Humanst521 BT">
    <w:altName w:val="Lucida Sans Unicod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A:\PH Letter to McMahan.doc</w:t>
    </w:r>
    <w:r>
      <w:rPr>
        <w:rStyle w:val="TrailerWGM"/>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A:\PH Letter to McMahan.doc</w:t>
    </w:r>
    <w:r>
      <w:rPr>
        <w:rStyle w:val="TrailerWGM"/>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80" w:after="0"/>
      <w:rPr/>
    </w:pPr>
    <w:bookmarkStart w:id="0" w:name="hdrrecipient"/>
    <w:bookmarkEnd w:id="0"/>
    <w:r>
      <w:rPr/>
      <w:t>Jeffrey McMahan</w:t>
    </w:r>
  </w:p>
  <w:p>
    <w:pPr>
      <w:pStyle w:val="Header"/>
      <w:rPr/>
    </w:pPr>
    <w:r>
      <w:rPr/>
    </w:r>
  </w:p>
  <w:p>
    <w:pPr>
      <w:pStyle w:val="Header"/>
      <w:spacing w:before="0" w:after="240"/>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012" w:type="dxa"/>
      <w:jc w:val="center"/>
      <w:tblInd w:w="0" w:type="dxa"/>
      <w:tblLayout w:type="fixed"/>
      <w:tblCellMar>
        <w:top w:w="0" w:type="dxa"/>
        <w:start w:w="0" w:type="dxa"/>
        <w:bottom w:w="0" w:type="dxa"/>
        <w:end w:w="0" w:type="dxa"/>
      </w:tblCellMar>
    </w:tblPr>
    <w:tblGrid>
      <w:gridCol w:w="4696"/>
      <w:gridCol w:w="1620"/>
      <w:gridCol w:w="4696"/>
    </w:tblGrid>
    <w:tr>
      <w:trPr>
        <w:trHeight w:val="220" w:hRule="exact"/>
      </w:trPr>
      <w:tc>
        <w:tcPr>
          <w:tcW w:w="4696" w:type="dxa"/>
          <w:tcBorders/>
        </w:tcPr>
        <w:p>
          <w:pPr>
            <w:pStyle w:val="Header"/>
            <w:tabs>
              <w:tab w:val="clear" w:pos="4320"/>
              <w:tab w:val="clear" w:pos="8640"/>
            </w:tabs>
            <w:snapToGrid w:val="false"/>
            <w:rPr>
              <w:sz w:val="20"/>
            </w:rPr>
          </w:pPr>
          <w:r>
            <w:rPr>
              <w:sz w:val="20"/>
            </w:rPr>
          </w:r>
        </w:p>
      </w:tc>
      <w:tc>
        <w:tcPr>
          <w:tcW w:w="1620" w:type="dxa"/>
          <w:tcBorders/>
        </w:tcPr>
        <w:p>
          <w:pPr>
            <w:pStyle w:val="Header"/>
            <w:snapToGrid w:val="false"/>
            <w:rPr>
              <w:rFonts w:ascii="EngraversGothic BT;Arial" w:hAnsi="EngraversGothic BT;Arial" w:cs="EngraversGothic BT;Arial"/>
              <w:sz w:val="20"/>
            </w:rPr>
          </w:pPr>
          <w:r>
            <w:rPr>
              <w:rFonts w:cs="EngraversGothic BT;Arial" w:ascii="EngraversGothic BT;Arial" w:hAnsi="EngraversGothic BT;Arial"/>
              <w:sz w:val="20"/>
            </w:rPr>
          </w:r>
        </w:p>
      </w:tc>
      <w:tc>
        <w:tcPr>
          <w:tcW w:w="4696" w:type="dxa"/>
          <w:tcBorders/>
        </w:tcPr>
        <w:p>
          <w:pPr>
            <w:pStyle w:val="Header"/>
            <w:snapToGrid w:val="false"/>
            <w:rPr>
              <w:rFonts w:ascii="EngraversGothic BT;Arial" w:hAnsi="EngraversGothic BT;Arial" w:cs="EngraversGothic BT;Arial"/>
              <w:spacing w:val="20"/>
              <w:sz w:val="20"/>
            </w:rPr>
          </w:pPr>
          <w:r>
            <w:rPr>
              <w:rFonts w:cs="EngraversGothic BT;Arial" w:ascii="EngraversGothic BT;Arial" w:hAnsi="EngraversGothic BT;Arial"/>
              <w:spacing w:val="20"/>
              <w:sz w:val="20"/>
            </w:rPr>
          </w:r>
        </w:p>
      </w:tc>
    </w:tr>
    <w:tr>
      <w:trPr>
        <w:trHeight w:val="220" w:hRule="exact"/>
      </w:trPr>
      <w:tc>
        <w:tcPr>
          <w:tcW w:w="4696" w:type="dxa"/>
          <w:tcBorders/>
        </w:tcPr>
        <w:p>
          <w:pPr>
            <w:pStyle w:val="Header"/>
            <w:tabs>
              <w:tab w:val="clear" w:pos="4320"/>
              <w:tab w:val="clear" w:pos="8640"/>
            </w:tabs>
            <w:snapToGrid w:val="false"/>
            <w:rPr>
              <w:spacing w:val="20"/>
              <w:sz w:val="20"/>
            </w:rPr>
          </w:pPr>
          <w:r>
            <w:rPr>
              <w:spacing w:val="20"/>
              <w:sz w:val="20"/>
            </w:rPr>
          </w:r>
        </w:p>
      </w:tc>
      <w:tc>
        <w:tcPr>
          <w:tcW w:w="1620" w:type="dxa"/>
          <w:tcBorders/>
        </w:tcPr>
        <w:p>
          <w:pPr>
            <w:pStyle w:val="Header"/>
            <w:snapToGrid w:val="false"/>
            <w:rPr>
              <w:rFonts w:ascii="EngraversGothic BT;Arial" w:hAnsi="EngraversGothic BT;Arial" w:cs="EngraversGothic BT;Arial"/>
              <w:sz w:val="20"/>
            </w:rPr>
          </w:pPr>
          <w:r>
            <w:rPr>
              <w:rFonts w:cs="EngraversGothic BT;Arial" w:ascii="EngraversGothic BT;Arial" w:hAnsi="EngraversGothic BT;Arial"/>
              <w:sz w:val="20"/>
            </w:rPr>
          </w:r>
        </w:p>
      </w:tc>
      <w:tc>
        <w:tcPr>
          <w:tcW w:w="4696" w:type="dxa"/>
          <w:tcBorders/>
        </w:tcPr>
        <w:p>
          <w:pPr>
            <w:pStyle w:val="Header"/>
            <w:snapToGrid w:val="false"/>
            <w:rPr>
              <w:rFonts w:ascii="EngraversGothic BT;Arial" w:hAnsi="EngraversGothic BT;Arial" w:cs="EngraversGothic BT;Arial"/>
              <w:spacing w:val="20"/>
              <w:sz w:val="20"/>
            </w:rPr>
          </w:pPr>
          <w:r>
            <w:rPr>
              <w:rFonts w:cs="EngraversGothic BT;Arial" w:ascii="EngraversGothic BT;Arial" w:hAnsi="EngraversGothic BT;Arial"/>
              <w:spacing w:val="20"/>
              <w:sz w:val="20"/>
            </w:rPr>
          </w:r>
        </w:p>
      </w:tc>
    </w:tr>
  </w:tbl>
  <w:p>
    <w:pPr>
      <w:pStyle w:val="Header"/>
      <w:spacing w:before="0" w:after="3120"/>
      <w:rPr>
        <w:rFonts w:ascii="EngraversGothic BT;Arial" w:hAnsi="EngraversGothic BT;Arial" w:cs="EngraversGothic BT;Arial"/>
        <w:b/>
        <w:sz w:val="36"/>
      </w:rPr>
    </w:pPr>
    <w:r>
      <w:rPr>
        <w:rFonts w:cs="EngraversGothic BT;Arial" w:ascii="EngraversGothic BT;Arial" w:hAnsi="EngraversGothic BT;Arial"/>
        <w:b/>
        <w:sz w:val="36"/>
      </w:rPr>
    </w:r>
    <w:bookmarkStart w:id="1" w:name="letterhead"/>
    <w:bookmarkStart w:id="2" w:name="attynameleft"/>
    <w:bookmarkStart w:id="3" w:name="letterhead"/>
    <w:bookmarkStart w:id="4" w:name="attynameleft"/>
    <w:bookmarkEnd w:id="3"/>
    <w:bookmarkEnd w:id="4"/>
    <w:r>
      <mc:AlternateContent>
        <mc:Choice Requires="wps">
          <w:drawing>
            <wp:anchor behindDoc="1" distT="0" distB="0" distL="114935" distR="114935" simplePos="0" locked="0" layoutInCell="0" allowOverlap="1" relativeHeight="2">
              <wp:simplePos x="0" y="0"/>
              <wp:positionH relativeFrom="page">
                <wp:posOffset>365760</wp:posOffset>
              </wp:positionH>
              <wp:positionV relativeFrom="page">
                <wp:posOffset>2331720</wp:posOffset>
              </wp:positionV>
              <wp:extent cx="1645920" cy="548640"/>
              <wp:effectExtent l="0" t="0" r="0" b="0"/>
              <wp:wrapNone/>
              <wp:docPr id="1" name="Frame1"/>
              <a:graphic xmlns:a="http://schemas.openxmlformats.org/drawingml/2006/main">
                <a:graphicData uri="http://schemas.microsoft.com/office/word/2010/wordprocessingShape">
                  <wps:wsp>
                    <wps:cNvSpPr txBox="1"/>
                    <wps:spPr>
                      <a:xfrm>
                        <a:off x="0" y="0"/>
                        <a:ext cx="1645920" cy="548640"/>
                      </a:xfrm>
                      <a:prstGeom prst="rect"/>
                      <a:solidFill>
                        <a:srgbClr val="FFFFFF"/>
                      </a:solidFill>
                    </wps:spPr>
                    <wps:txbx>
                      <w:txbxContent>
                        <w:p>
                          <w:pPr>
                            <w:pStyle w:val="DirectDial"/>
                            <w:rPr/>
                          </w:pPr>
                          <w:r>
                            <w:rPr/>
                          </w:r>
                          <w:bookmarkStart w:id="5" w:name="ddname1"/>
                          <w:bookmarkStart w:id="6" w:name="ddname1"/>
                          <w:bookmarkEnd w:id="6"/>
                        </w:p>
                        <w:p>
                          <w:pPr>
                            <w:pStyle w:val="DirectDial"/>
                            <w:rPr/>
                          </w:pPr>
                          <w:r>
                            <w:rPr/>
                          </w:r>
                          <w:bookmarkStart w:id="7" w:name="ddname2"/>
                          <w:bookmarkStart w:id="8" w:name="ddname2"/>
                          <w:bookmarkEnd w:id="8"/>
                        </w:p>
                        <w:p>
                          <w:pPr>
                            <w:pStyle w:val="DirectDial"/>
                            <w:rPr/>
                          </w:pPr>
                          <w:r>
                            <w:rPr/>
                          </w:r>
                          <w:bookmarkStart w:id="9" w:name="ddText"/>
                          <w:bookmarkStart w:id="10" w:name="ddText"/>
                          <w:bookmarkEnd w:id="10"/>
                        </w:p>
                        <w:p>
                          <w:pPr>
                            <w:pStyle w:val="DirectDialNumber"/>
                            <w:rPr/>
                          </w:pPr>
                          <w:r>
                            <w:rPr/>
                          </w:r>
                          <w:bookmarkStart w:id="11" w:name="ddNumber"/>
                          <w:bookmarkStart w:id="12" w:name="ddNumber"/>
                          <w:bookmarkEnd w:id="12"/>
                        </w:p>
                        <w:p>
                          <w:pPr>
                            <w:pStyle w:val="DirectDial"/>
                            <w:rPr/>
                          </w:pPr>
                          <w:r>
                            <w:rPr/>
                          </w:r>
                          <w:bookmarkStart w:id="13" w:name="email"/>
                          <w:bookmarkStart w:id="14" w:name="email"/>
                          <w:bookmarkEnd w:id="14"/>
                        </w:p>
                      </w:txbxContent>
                    </wps:txbx>
                    <wps:bodyPr anchor="t" lIns="635" tIns="635" rIns="635" bIns="635">
                      <a:noAutofit/>
                    </wps:bodyPr>
                  </wps:wsp>
                </a:graphicData>
              </a:graphic>
            </wp:anchor>
          </w:drawing>
        </mc:Choice>
        <mc:Fallback>
          <w:pict>
            <v:rect fillcolor="#FFFFFF" style="position:absolute;rotation:-0;width:129.6pt;height:43.2pt;mso-wrap-distance-left:9.05pt;mso-wrap-distance-right:9.05pt;mso-wrap-distance-top:0pt;mso-wrap-distance-bottom:0pt;margin-top:183.6pt;mso-position-vertical-relative:page;margin-left:28.8pt;mso-position-horizontal-relative:page">
              <v:textbox inset="0.000694444444444445in,0.000694444444444445in,0.000694444444444445in,0.000694444444444445in">
                <w:txbxContent>
                  <w:p>
                    <w:pPr>
                      <w:pStyle w:val="DirectDial"/>
                      <w:rPr/>
                    </w:pPr>
                    <w:r>
                      <w:rPr/>
                    </w:r>
                    <w:bookmarkStart w:id="15" w:name="ddname1"/>
                    <w:bookmarkStart w:id="16" w:name="ddname1"/>
                    <w:bookmarkEnd w:id="16"/>
                  </w:p>
                  <w:p>
                    <w:pPr>
                      <w:pStyle w:val="DirectDial"/>
                      <w:rPr/>
                    </w:pPr>
                    <w:r>
                      <w:rPr/>
                    </w:r>
                    <w:bookmarkStart w:id="17" w:name="ddname2"/>
                    <w:bookmarkStart w:id="18" w:name="ddname2"/>
                    <w:bookmarkEnd w:id="18"/>
                  </w:p>
                  <w:p>
                    <w:pPr>
                      <w:pStyle w:val="DirectDial"/>
                      <w:rPr/>
                    </w:pPr>
                    <w:r>
                      <w:rPr/>
                    </w:r>
                    <w:bookmarkStart w:id="19" w:name="ddText"/>
                    <w:bookmarkStart w:id="20" w:name="ddText"/>
                    <w:bookmarkEnd w:id="20"/>
                  </w:p>
                  <w:p>
                    <w:pPr>
                      <w:pStyle w:val="DirectDialNumber"/>
                      <w:rPr/>
                    </w:pPr>
                    <w:r>
                      <w:rPr/>
                    </w:r>
                    <w:bookmarkStart w:id="21" w:name="ddNumber"/>
                    <w:bookmarkStart w:id="22" w:name="ddNumber"/>
                    <w:bookmarkEnd w:id="22"/>
                  </w:p>
                  <w:p>
                    <w:pPr>
                      <w:pStyle w:val="DirectDial"/>
                      <w:rPr/>
                    </w:pPr>
                    <w:r>
                      <w:rPr/>
                    </w:r>
                    <w:bookmarkStart w:id="23" w:name="email"/>
                    <w:bookmarkStart w:id="24" w:name="email"/>
                    <w:bookmarkEnd w:id="24"/>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upperLetter"/>
      <w:lvlText w:val="%1."/>
      <w:lvlJc w:val="start"/>
      <w:pPr>
        <w:tabs>
          <w:tab w:val="num" w:pos="360"/>
        </w:tabs>
        <w:ind w:start="360" w:hanging="360"/>
      </w:pPr>
    </w:lvl>
  </w:abstractNum>
  <w:abstractNum w:abstractNumId="15">
    <w:lvl w:ilvl="0">
      <w:start w:val="1"/>
      <w:numFmt w:val="upperLetter"/>
      <w:lvlText w:val="%1."/>
      <w:lvlJc w:val="start"/>
      <w:pPr>
        <w:tabs>
          <w:tab w:val="num" w:pos="360"/>
        </w:tabs>
        <w:ind w:start="360" w:hanging="360"/>
      </w:pPr>
    </w:lvl>
  </w:abstractNum>
  <w:abstractNum w:abstractNumId="16">
    <w:lvl w:ilvl="0">
      <w:start w:val="1"/>
      <w:numFmt w:val="upp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TrailerWGM">
    <w:name w:val="Trailer WGM"/>
    <w:basedOn w:val="DefaultParagraphFont"/>
    <w:qFormat/>
    <w:rPr>
      <w:caps/>
      <w:sz w:val="1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rFonts w:ascii="Times New Roman" w:hAnsi="Times New Roman" w:cs="Times New Roman"/>
      <w:sz w:val="24"/>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0" w:after="24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numPr>
        <w:ilvl w:val="0"/>
        <w:numId w:val="12"/>
      </w:numPr>
      <w:tabs>
        <w:tab w:val="clear" w:pos="720"/>
      </w:tabs>
      <w:spacing w:before="0" w:after="240"/>
      <w:ind w:hanging="720" w:start="72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1440" w:end="0"/>
    </w:pPr>
    <w:rPr/>
  </w:style>
  <w:style w:type="paragraph" w:styleId="BodyTextFirstIndent2">
    <w:name w:val="Body Text First Indent 2"/>
    <w:basedOn w:val="Normal"/>
    <w:qFormat/>
    <w:pPr>
      <w:spacing w:lineRule="auto" w:line="480"/>
      <w:ind w:firstLine="720" w:start="1440" w:end="0"/>
    </w:pPr>
    <w:rPr/>
  </w:style>
  <w:style w:type="paragraph" w:styleId="BodyTextFirstIndent">
    <w:name w:val="Body Text First Indent"/>
    <w:basedOn w:val="Normal"/>
    <w:qFormat/>
    <w:pPr>
      <w:spacing w:before="0" w:after="240"/>
      <w:ind w:firstLine="720" w:start="1440" w:end="0"/>
    </w:pPr>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tabs>
        <w:tab w:val="clear" w:pos="720"/>
        <w:tab w:val="left" w:pos="4320" w:leader="none"/>
      </w:tabs>
      <w:spacing w:before="0" w:after="240"/>
      <w:ind w:hanging="4320" w:start="4320" w:end="0"/>
    </w:pPr>
    <w:rPr/>
  </w:style>
  <w:style w:type="paragraph" w:styleId="EndnoteText">
    <w:name w:val="endnote text"/>
    <w:basedOn w:val="Normal"/>
    <w:pPr>
      <w:spacing w:before="0" w:after="240"/>
    </w:pPr>
    <w:rPr/>
  </w:style>
  <w:style w:type="paragraph" w:styleId="FootnoteText">
    <w:name w:val="footnote text"/>
    <w:basedOn w:val="Normal"/>
    <w:pPr>
      <w:spacing w:before="0" w:after="240"/>
    </w:pPr>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6"/>
      </w:numPr>
      <w:tabs>
        <w:tab w:val="clear" w:pos="720"/>
      </w:tabs>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4"/>
      </w:numPr>
      <w:tabs>
        <w:tab w:val="clear" w:pos="720"/>
      </w:tabs>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5"/>
      </w:numPr>
      <w:tabs>
        <w:tab w:val="clear" w:pos="720"/>
      </w:tabs>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3"/>
      </w:numPr>
      <w:tabs>
        <w:tab w:val="clear" w:pos="720"/>
      </w:tabs>
      <w:spacing w:before="0" w:after="240"/>
      <w:ind w:hanging="720" w:start="3600" w:end="0"/>
    </w:pPr>
    <w:rPr/>
  </w:style>
  <w:style w:type="paragraph" w:styleId="ListBullet31">
    <w:name w:val="List Bullet 31"/>
    <w:basedOn w:val="Normal"/>
    <w:qFormat/>
    <w:pPr>
      <w:numPr>
        <w:ilvl w:val="0"/>
        <w:numId w:val="8"/>
      </w:numPr>
      <w:tabs>
        <w:tab w:val="clear" w:pos="720"/>
      </w:tabs>
      <w:spacing w:before="0" w:after="240"/>
      <w:ind w:hanging="720" w:start="2160" w:end="0"/>
    </w:pPr>
    <w:rPr/>
  </w:style>
  <w:style w:type="paragraph" w:styleId="ListBullet41">
    <w:name w:val="List Bullet 41"/>
    <w:basedOn w:val="Normal"/>
    <w:qFormat/>
    <w:pPr>
      <w:numPr>
        <w:ilvl w:val="0"/>
        <w:numId w:val="7"/>
      </w:numPr>
      <w:tabs>
        <w:tab w:val="clear" w:pos="720"/>
      </w:tabs>
      <w:spacing w:before="0" w:after="240"/>
      <w:ind w:hanging="720" w:start="2880" w:end="0"/>
    </w:pPr>
    <w:rPr/>
  </w:style>
  <w:style w:type="paragraph" w:styleId="ListBullet51">
    <w:name w:val="List Bullet 51"/>
    <w:basedOn w:val="Normal"/>
    <w:qFormat/>
    <w:pPr>
      <w:numPr>
        <w:ilvl w:val="0"/>
        <w:numId w:val="6"/>
      </w:numPr>
      <w:tabs>
        <w:tab w:val="clear" w:pos="720"/>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5"/>
      </w:numPr>
      <w:tabs>
        <w:tab w:val="clear" w:pos="720"/>
      </w:tabs>
      <w:spacing w:before="0" w:after="240"/>
      <w:ind w:hanging="720" w:start="1440" w:end="0"/>
    </w:pPr>
    <w:rPr/>
  </w:style>
  <w:style w:type="paragraph" w:styleId="ListNumber3">
    <w:name w:val="List Number 3"/>
    <w:basedOn w:val="Normal"/>
    <w:qFormat/>
    <w:pPr>
      <w:numPr>
        <w:ilvl w:val="0"/>
        <w:numId w:val="4"/>
      </w:numPr>
      <w:tabs>
        <w:tab w:val="clear" w:pos="720"/>
      </w:tabs>
      <w:spacing w:before="0" w:after="240"/>
      <w:ind w:hanging="720" w:start="2160" w:end="0"/>
    </w:pPr>
    <w:rPr/>
  </w:style>
  <w:style w:type="paragraph" w:styleId="ListNumber4">
    <w:name w:val="List Number 4"/>
    <w:basedOn w:val="Normal"/>
    <w:qFormat/>
    <w:pPr>
      <w:numPr>
        <w:ilvl w:val="0"/>
        <w:numId w:val="3"/>
      </w:numPr>
      <w:tabs>
        <w:tab w:val="clear" w:pos="720"/>
      </w:tabs>
      <w:spacing w:before="0" w:after="240"/>
      <w:ind w:hanging="720" w:start="2880" w:end="0"/>
    </w:pPr>
    <w:rPr/>
  </w:style>
  <w:style w:type="paragraph" w:styleId="ListNumber5">
    <w:name w:val="List Number 5"/>
    <w:basedOn w:val="Normal"/>
    <w:qFormat/>
    <w:pPr>
      <w:numPr>
        <w:ilvl w:val="0"/>
        <w:numId w:val="2"/>
      </w:numPr>
      <w:tabs>
        <w:tab w:val="clear" w:pos="720"/>
      </w:tabs>
      <w:spacing w:before="0" w:after="240"/>
      <w:ind w:hanging="720" w:start="3600" w:end="0"/>
    </w:pPr>
    <w:rPr/>
  </w:style>
  <w:style w:type="paragraph" w:styleId="ListNumber">
    <w:name w:val="List Number"/>
    <w:basedOn w:val="Normal"/>
    <w:qFormat/>
    <w:pPr>
      <w:numPr>
        <w:ilvl w:val="0"/>
        <w:numId w:val="10"/>
      </w:numPr>
      <w:tabs>
        <w:tab w:val="clear" w:pos="720"/>
      </w:tabs>
      <w:spacing w:before="0" w:after="240"/>
      <w:ind w:hanging="720" w:start="720" w:end="0"/>
    </w:pPr>
    <w:rPr/>
  </w:style>
  <w:style w:type="paragraph" w:styleId="EnvelopeAddress">
    <w:name w:val="envelope address"/>
    <w:basedOn w:val="Normal"/>
    <w:pPr>
      <w:ind w:hanging="0" w:start="2880" w:end="0"/>
    </w:pPr>
    <w:rPr/>
  </w:style>
  <w:style w:type="paragraph" w:styleId="PlainText">
    <w:name w:val="Plain Text"/>
    <w:basedOn w:val="Normal"/>
    <w:qFormat/>
    <w:pPr>
      <w:spacing w:before="0" w:after="240"/>
    </w:pPr>
    <w:rPr/>
  </w:style>
  <w:style w:type="paragraph" w:styleId="Signature">
    <w:name w:val="Signature"/>
    <w:basedOn w:val="Normal"/>
    <w:pPr>
      <w:spacing w:before="0" w:after="240"/>
      <w:ind w:hanging="0" w:start="4320" w:end="0"/>
    </w:pPr>
    <w:rPr/>
  </w:style>
  <w:style w:type="paragraph" w:styleId="Subtitle">
    <w:name w:val="Subtitle"/>
    <w:basedOn w:val="Normal"/>
    <w:next w:val="BodyText"/>
    <w:qFormat/>
    <w:pPr>
      <w:keepNext w:val="true"/>
      <w:spacing w:before="0" w:after="240"/>
      <w:jc w:val="center"/>
      <w:outlineLvl w:val="1"/>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EnvelopeWGMReturn">
    <w:name w:val="Envelope WGM Return"/>
    <w:basedOn w:val="Normal"/>
    <w:qFormat/>
    <w:pPr/>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US" w:eastAsia="en-CA" w:bidi="ar-SA"/>
    </w:rPr>
  </w:style>
  <w:style w:type="paragraph" w:styleId="Memorandum">
    <w:name w:val="Memorandum"/>
    <w:basedOn w:val="Normal"/>
    <w:qFormat/>
    <w:pPr>
      <w:spacing w:before="0" w:after="720"/>
      <w:jc w:val="center"/>
    </w:pPr>
    <w:rPr>
      <w:rFonts w:ascii="EngraversGothic BT;Arial" w:hAnsi="EngraversGothic BT;Arial" w:cs="EngraversGothic BT;Arial"/>
      <w:b/>
      <w:spacing w:val="100"/>
      <w:sz w:val="28"/>
    </w:rPr>
  </w:style>
  <w:style w:type="paragraph" w:styleId="DeliveryMethod">
    <w:name w:val="Delivery Method"/>
    <w:basedOn w:val="Normal"/>
    <w:next w:val="Recipient"/>
    <w:qFormat/>
    <w:pPr>
      <w:spacing w:before="0" w:after="240"/>
    </w:pPr>
    <w:rPr>
      <w:b/>
      <w:u w:val="single"/>
    </w:rPr>
  </w:style>
  <w:style w:type="paragraph" w:styleId="InsideAddress">
    <w:name w:val="Inside Address"/>
    <w:basedOn w:val="Normal"/>
    <w:qFormat/>
    <w:pPr/>
    <w:rPr/>
  </w:style>
  <w:style w:type="paragraph" w:styleId="Re">
    <w:name w:val="Re"/>
    <w:basedOn w:val="BodyText"/>
    <w:next w:val="Salutation"/>
    <w:qFormat/>
    <w:pPr>
      <w:spacing w:before="240" w:after="0"/>
      <w:ind w:hanging="720" w:start="2160" w:end="1440"/>
    </w:pPr>
    <w:rPr/>
  </w:style>
  <w:style w:type="paragraph" w:styleId="Salutation">
    <w:name w:val="Salutation"/>
    <w:basedOn w:val="Normal"/>
    <w:next w:val="BodyText"/>
    <w:qFormat/>
    <w:pPr>
      <w:spacing w:before="240" w:after="240"/>
    </w:pPr>
    <w:rPr/>
  </w:style>
  <w:style w:type="paragraph" w:styleId="Recipient">
    <w:name w:val="Recipient"/>
    <w:basedOn w:val="Normal"/>
    <w:qFormat/>
    <w:pPr/>
    <w:rPr/>
  </w:style>
  <w:style w:type="paragraph" w:styleId="Date">
    <w:name w:val="Date"/>
    <w:basedOn w:val="Normal"/>
    <w:next w:val="Normal"/>
    <w:qFormat/>
    <w:pPr>
      <w:spacing w:before="0" w:after="72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ogo-address">
    <w:name w:val="Logo-address"/>
    <w:qFormat/>
    <w:pPr>
      <w:widowControl/>
      <w:bidi w:val="0"/>
      <w:spacing w:lineRule="atLeast" w:line="260"/>
      <w:jc w:val="center"/>
    </w:pPr>
    <w:rPr>
      <w:rFonts w:ascii="Humanst521 Lt BT;Palatino" w:hAnsi="Humanst521 Lt BT;Palatino" w:eastAsia="Times New Roman" w:cs="Humanst521 Lt BT;Palatino"/>
      <w:b/>
      <w:color w:val="auto"/>
      <w:spacing w:val="28"/>
      <w:sz w:val="14"/>
      <w:szCs w:val="20"/>
      <w:lang w:val="en-US" w:eastAsia="en-CA" w:bidi="ar-SA"/>
    </w:rPr>
  </w:style>
  <w:style w:type="paragraph" w:styleId="Logo-name">
    <w:name w:val="Logo-name"/>
    <w:qFormat/>
    <w:pPr>
      <w:widowControl/>
      <w:bidi w:val="0"/>
      <w:jc w:val="center"/>
    </w:pPr>
    <w:rPr>
      <w:rFonts w:ascii="EngraversGothic BT;Arial" w:hAnsi="EngraversGothic BT;Arial" w:eastAsia="Times New Roman" w:cs="EngraversGothic BT;Arial"/>
      <w:color w:val="auto"/>
      <w:sz w:val="12"/>
      <w:szCs w:val="20"/>
      <w:lang w:val="en-US" w:eastAsia="en-CA" w:bidi="ar-SA"/>
    </w:rPr>
  </w:style>
  <w:style w:type="paragraph" w:styleId="Logo-officelist">
    <w:name w:val="Logo-officelist"/>
    <w:basedOn w:val="Header"/>
    <w:qFormat/>
    <w:pPr>
      <w:spacing w:before="0" w:after="100"/>
      <w:jc w:val="center"/>
    </w:pPr>
    <w:rPr>
      <w:rFonts w:ascii="Humanst521 Lt BT;Palatino" w:hAnsi="Humanst521 Lt BT;Palatino" w:cs="Humanst521 Lt BT;Palatino"/>
      <w:b/>
      <w:spacing w:val="26"/>
      <w:sz w:val="12"/>
    </w:rPr>
  </w:style>
  <w:style w:type="paragraph" w:styleId="DirectDial">
    <w:name w:val="DirectDial"/>
    <w:basedOn w:val="Normal"/>
    <w:qFormat/>
    <w:pPr>
      <w:jc w:val="center"/>
    </w:pPr>
    <w:rPr>
      <w:rFonts w:ascii="Humanst521 BT;Lucida Sans Unicode" w:hAnsi="Humanst521 BT;Lucida Sans Unicode" w:cs="Humanst521 BT;Lucida Sans Unicode"/>
      <w:spacing w:val="14"/>
      <w:sz w:val="12"/>
    </w:rPr>
  </w:style>
  <w:style w:type="paragraph" w:styleId="Logo-llp">
    <w:name w:val="Logo-llp"/>
    <w:basedOn w:val="Logo-name"/>
    <w:qFormat/>
    <w:pPr>
      <w:spacing w:before="0" w:after="40"/>
    </w:pPr>
    <w:rPr>
      <w:b/>
      <w:spacing w:val="4"/>
    </w:rPr>
  </w:style>
  <w:style w:type="paragraph" w:styleId="Logo-phone">
    <w:name w:val="Logo-phone"/>
    <w:basedOn w:val="Logo-address"/>
    <w:qFormat/>
    <w:pPr/>
    <w:rPr>
      <w:sz w:val="13"/>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EnvelopeReturn">
    <w:name w:val="envelope return"/>
    <w:basedOn w:val="Normal"/>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4"/>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DirectDialNumber">
    <w:name w:val="DirectDialNumber"/>
    <w:basedOn w:val="DirectDial"/>
    <w:qFormat/>
    <w:pPr/>
    <w:rPr>
      <w:rFonts w:ascii="Humanst521 Lt BT;Palatino" w:hAnsi="Humanst521 Lt BT;Palatino" w:cs="Humanst521 Lt BT;Palatino"/>
      <w:spacing w:val="14"/>
      <w:sz w:val="18"/>
    </w:rPr>
  </w:style>
  <w:style w:type="paragraph" w:styleId="Email">
    <w:name w:val="Email"/>
    <w:basedOn w:val="DirectDial"/>
    <w:qFormat/>
    <w:pPr/>
    <w:rPr>
      <w:rFonts w:ascii="Humanst521 Lt BT;Palatino" w:hAnsi="Humanst521 Lt BT;Palatino" w:cs="Humanst521 Lt BT;Palatino"/>
      <w:spacing w:val="14"/>
    </w:rPr>
  </w:style>
  <w:style w:type="paragraph" w:styleId="DocumentMap">
    <w:name w:val="Document Map"/>
    <w:basedOn w:val="Normal"/>
    <w:qFormat/>
    <w:pPr>
      <w:shd w:fill="000080" w:val="clear"/>
    </w:pPr>
    <w:rPr/>
  </w:style>
  <w:style w:type="paragraph" w:styleId="ListBullet21">
    <w:name w:val="List Bullet 21"/>
    <w:basedOn w:val="Normal"/>
    <w:qFormat/>
    <w:pPr>
      <w:numPr>
        <w:ilvl w:val="0"/>
        <w:numId w:val="9"/>
      </w:numPr>
      <w:spacing w:before="0" w:after="240"/>
      <w:ind w:hanging="720" w:start="1440" w:end="0"/>
    </w:pPr>
    <w:rPr/>
  </w:style>
  <w:style w:type="paragraph" w:styleId="CommentText">
    <w:name w:val="Comment Text"/>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2002-01-17T14:11:00Z</dcterms:created>
  <dc:creator>WGM</dc:creator>
  <dc:description/>
  <dc:language>en-CA</dc:language>
  <cp:lastModifiedBy>Cathy J. Mulligan</cp:lastModifiedBy>
  <cp:lastPrinted>2002-01-17T11:34:00Z</cp:lastPrinted>
  <dcterms:modified xsi:type="dcterms:W3CDTF">2002-01-17T16:11:00Z</dcterms:modified>
  <cp:revision>4</cp:revision>
  <dc:subject/>
  <dc:title>Local: A:\PH Letter to McMahan.doc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A:\PH Letter to McMahan.doc</vt:lpwstr>
  </property>
</Properties>
</file>