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480" w:after="0"/>
        <w:jc w:val="center"/>
        <w:rPr>
          <w:b/>
          <w:bCs/>
        </w:rPr>
      </w:pPr>
      <w:bookmarkStart w:id="0" w:name="PleadingCPUCModel"/>
      <w:r>
        <w:rPr>
          <w:b/>
          <w:bCs/>
        </w:rPr>
        <w:t>BEFORE THE PUBLIC UTILITIES COMMISSION</w:t>
        <w:br/>
        <w:t>OF THE STATE OF CALIFORNIA</w:t>
      </w:r>
    </w:p>
    <w:p>
      <w:pPr>
        <w:pStyle w:val="Normal"/>
        <w:rPr>
          <w:b/>
          <w:bCs/>
        </w:rPr>
      </w:pPr>
      <w:r>
        <w:rPr>
          <w:b/>
          <w:bCs/>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op w:val="dashed" w:sz="6" w:space="0" w:color="auto"/>
              <w:start w:val="dashed" w:sz="6" w:space="0" w:color="auto"/>
              <w:bottom w:val="single" w:sz="6" w:space="0" w:color="000000"/>
              <w:end w:val="single" w:sz="6" w:space="0" w:color="000000"/>
            </w:tcBorders>
          </w:tcPr>
          <w:p>
            <w:pPr>
              <w:pStyle w:val="Normal"/>
              <w:tabs>
                <w:tab w:val="clear" w:pos="720"/>
                <w:tab w:val="left" w:pos="1440" w:leader="none"/>
              </w:tabs>
              <w:rPr/>
            </w:pPr>
            <w:r>
              <w:rPr/>
              <w:t>Order Instituting Investigation into implementation of Assembly Bill 970 regarding the identification of electric transmission and distribution constraints, actions to resolve those constraints, and related matters affecting the reliability of electric supply.</w:t>
            </w:r>
          </w:p>
          <w:p>
            <w:pPr>
              <w:pStyle w:val="Normal"/>
              <w:tabs>
                <w:tab w:val="clear" w:pos="720"/>
                <w:tab w:val="left" w:pos="1440" w:leader="none"/>
              </w:tabs>
              <w:rPr/>
            </w:pPr>
            <w:r>
              <w:rPr/>
            </w:r>
          </w:p>
          <w:p>
            <w:pPr>
              <w:pStyle w:val="Normal"/>
              <w:tabs>
                <w:tab w:val="clear" w:pos="720"/>
                <w:tab w:val="left" w:pos="1440" w:leader="none"/>
              </w:tabs>
              <w:jc w:val="end"/>
              <w:rPr/>
            </w:pPr>
            <w:r>
              <w:rPr/>
              <w:t>(U 39 E)</w:t>
            </w:r>
          </w:p>
        </w:tc>
        <w:tc>
          <w:tcPr>
            <w:tcW w:w="4968" w:type="dxa"/>
            <w:tcBorders>
              <w:top w:val="dashed" w:sz="6" w:space="0" w:color="auto"/>
              <w:start w:val="dashed" w:sz="6" w:space="0" w:color="auto"/>
              <w:bottom w:val="dashed" w:sz="6" w:space="0" w:color="auto"/>
              <w:end w:val="dashed" w:sz="6" w:space="0" w:color="auto"/>
            </w:tcBorders>
          </w:tcPr>
          <w:p>
            <w:pPr>
              <w:pStyle w:val="Normal"/>
              <w:snapToGrid w:val="false"/>
              <w:ind w:start="252" w:end="0"/>
              <w:rPr/>
            </w:pPr>
            <w:r>
              <w:rPr/>
            </w:r>
          </w:p>
          <w:p>
            <w:pPr>
              <w:pStyle w:val="Normal"/>
              <w:ind w:start="252" w:end="0"/>
              <w:rPr/>
            </w:pPr>
            <w:r>
              <w:rPr/>
            </w:r>
          </w:p>
          <w:p>
            <w:pPr>
              <w:pStyle w:val="Normal"/>
              <w:ind w:start="252" w:end="0"/>
              <w:rPr/>
            </w:pPr>
            <w:r>
              <w:rPr/>
              <w:t>Investigation No. 00-11-001</w:t>
              <w:br/>
              <w:t>(Filed November 2, 2000)</w:t>
            </w:r>
          </w:p>
          <w:p>
            <w:pPr>
              <w:pStyle w:val="Normal"/>
              <w:ind w:start="252" w:end="0"/>
              <w:jc w:val="center"/>
              <w:rPr/>
            </w:pPr>
            <w:r>
              <w:rPr/>
            </w:r>
          </w:p>
          <w:p>
            <w:pPr>
              <w:pStyle w:val="Normal"/>
              <w:ind w:start="252" w:end="0"/>
              <w:rPr/>
            </w:pPr>
            <w:r>
              <w:rPr/>
            </w:r>
          </w:p>
        </w:tc>
      </w:tr>
    </w:tbl>
    <w:p>
      <w:pPr>
        <w:pStyle w:val="Normal"/>
        <w:rPr/>
      </w:pPr>
      <w:r>
        <w:rPr/>
      </w:r>
    </w:p>
    <w:p>
      <w:pPr>
        <w:pStyle w:val="Normal"/>
        <w:rPr/>
      </w:pPr>
      <w:r>
        <w:rPr/>
      </w:r>
    </w:p>
    <w:p>
      <w:pPr>
        <w:pStyle w:val="Normal"/>
        <w:rPr/>
      </w:pPr>
      <w:r>
        <w:rPr/>
      </w:r>
    </w:p>
    <w:p>
      <w:pPr>
        <w:pStyle w:val="BodyText"/>
        <w:spacing w:lineRule="exact" w:line="240"/>
        <w:ind w:hanging="0" w:end="0"/>
        <w:jc w:val="center"/>
        <w:rPr>
          <w:b/>
          <w:bCs/>
        </w:rPr>
      </w:pPr>
      <w:r>
        <w:rPr>
          <w:b/>
          <w:bCs/>
        </w:rPr>
        <w:t>PREHEARING CONFERENCE STATEMENT OF</w:t>
      </w:r>
    </w:p>
    <w:p>
      <w:pPr>
        <w:pStyle w:val="BodyText"/>
        <w:spacing w:lineRule="exact" w:line="240"/>
        <w:ind w:hanging="0" w:end="0"/>
        <w:jc w:val="center"/>
        <w:rPr>
          <w:b/>
          <w:bCs/>
        </w:rPr>
      </w:pPr>
      <w:r>
        <w:rPr>
          <w:b/>
          <w:bCs/>
        </w:rPr>
        <w:t>PACIFIC GAS AND ELECTRIC COMPANY</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3600" w:end="0"/>
        <w:rPr/>
      </w:pPr>
      <w:r>
        <w:rPr/>
        <w:t>MICHELLE L. WILSON</w:t>
      </w:r>
    </w:p>
    <w:p>
      <w:pPr>
        <w:pStyle w:val="Normal"/>
        <w:ind w:start="3600" w:end="0"/>
        <w:rPr/>
      </w:pPr>
      <w:r>
        <w:rPr/>
        <w:t>DAVID T. KRASKA</w:t>
      </w:r>
    </w:p>
    <w:p>
      <w:pPr>
        <w:pStyle w:val="Normal"/>
        <w:ind w:start="3600" w:end="0"/>
        <w:rPr/>
      </w:pPr>
      <w:r>
        <w:rPr/>
      </w:r>
    </w:p>
    <w:p>
      <w:pPr>
        <w:pStyle w:val="Normal"/>
        <w:ind w:start="3600" w:end="0"/>
        <w:rPr/>
      </w:pPr>
      <w:r>
        <w:rPr/>
        <w:t>Law Department</w:t>
      </w:r>
    </w:p>
    <w:p>
      <w:pPr>
        <w:pStyle w:val="Normal"/>
        <w:ind w:start="3600" w:end="0"/>
        <w:rPr/>
      </w:pPr>
      <w:r>
        <w:rPr/>
        <w:t>Pacific Gas and Electric Company</w:t>
      </w:r>
    </w:p>
    <w:p>
      <w:pPr>
        <w:pStyle w:val="Normal"/>
        <w:ind w:start="3600" w:end="0"/>
        <w:rPr/>
      </w:pPr>
      <w:r>
        <w:rPr/>
        <w:t>Post Office Box 7442</w:t>
      </w:r>
    </w:p>
    <w:p>
      <w:pPr>
        <w:pStyle w:val="Normal"/>
        <w:ind w:start="3600" w:end="0"/>
        <w:rPr/>
      </w:pPr>
      <w:r>
        <w:rPr/>
        <w:t>San Francisco, CA  94120</w:t>
      </w:r>
    </w:p>
    <w:p>
      <w:pPr>
        <w:pStyle w:val="Normal"/>
        <w:ind w:start="3600" w:end="0"/>
        <w:rPr/>
      </w:pPr>
      <w:r>
        <w:rPr/>
        <w:t>Telephone: (415) 973-6655</w:t>
      </w:r>
    </w:p>
    <w:p>
      <w:pPr>
        <w:pStyle w:val="Normal"/>
        <w:ind w:start="3600" w:end="0"/>
        <w:rPr/>
      </w:pPr>
      <w:r>
        <w:rPr/>
        <w:t>Facsimile:  (415) 973-0516</w:t>
      </w:r>
    </w:p>
    <w:p>
      <w:pPr>
        <w:pStyle w:val="Normal"/>
        <w:ind w:start="3600" w:end="0"/>
        <w:rPr/>
      </w:pPr>
      <w:r>
        <w:rPr/>
        <w:t>E-Mail:       mlw3@pge.com</w:t>
      </w:r>
    </w:p>
    <w:p>
      <w:pPr>
        <w:pStyle w:val="Normal"/>
        <w:ind w:start="3600" w:end="0"/>
        <w:rPr/>
      </w:pPr>
      <w:r>
        <w:rPr/>
      </w:r>
    </w:p>
    <w:p>
      <w:pPr>
        <w:pStyle w:val="Normal"/>
        <w:ind w:start="3600" w:end="0"/>
        <w:rPr/>
      </w:pPr>
      <w:r>
        <w:rPr/>
        <w:t>Attorneys for</w:t>
      </w:r>
    </w:p>
    <w:p>
      <w:pPr>
        <w:pStyle w:val="Normal"/>
        <w:ind w:start="3600" w:end="0"/>
        <w:rPr/>
      </w:pPr>
      <w:r>
        <w:rPr/>
        <w:t>PACIFIC GAS AND ELECTRIC COMPANY</w:t>
      </w:r>
    </w:p>
    <w:p>
      <w:pPr>
        <w:pStyle w:val="Normal"/>
        <w:ind w:start="3240" w:end="0"/>
        <w:rPr/>
      </w:pPr>
      <w:r>
        <w:rPr/>
      </w:r>
    </w:p>
    <w:p>
      <w:pPr>
        <w:pStyle w:val="Normal"/>
        <w:rPr/>
      </w:pPr>
      <w:r>
        <w:rPr/>
      </w:r>
    </w:p>
    <w:p>
      <w:pPr>
        <w:pStyle w:val="Normal"/>
        <w:rPr/>
      </w:pPr>
      <w:r>
        <w:rPr/>
        <w:t>Dated:  July 3, 2001</w:t>
      </w:r>
      <w:r>
        <w:br w:type="page"/>
      </w:r>
    </w:p>
    <w:p>
      <w:pPr>
        <w:pStyle w:val="Normal"/>
        <w:jc w:val="center"/>
        <w:rPr>
          <w:b/>
          <w:bCs/>
        </w:rPr>
      </w:pPr>
      <w:r>
        <w:rPr>
          <w:b/>
          <w:bCs/>
        </w:rPr>
        <w:t>BEFORE THE PUBLIC UTILITIES COMMISSION</w:t>
        <w:br/>
        <w:t>OF THE STATE OF CALIFORNIA</w:t>
      </w:r>
    </w:p>
    <w:p>
      <w:pPr>
        <w:pStyle w:val="Normal"/>
        <w:rPr>
          <w:b/>
          <w:bCs/>
        </w:rPr>
      </w:pPr>
      <w:r>
        <w:rPr>
          <w:b/>
          <w:bCs/>
        </w:rPr>
      </w:r>
    </w:p>
    <w:p>
      <w:pPr>
        <w:pStyle w:val="Normal"/>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op w:val="dashed" w:sz="6" w:space="0" w:color="auto"/>
              <w:start w:val="dashed" w:sz="6" w:space="0" w:color="auto"/>
              <w:bottom w:val="single" w:sz="6" w:space="0" w:color="000000"/>
              <w:end w:val="single" w:sz="6" w:space="0" w:color="000000"/>
            </w:tcBorders>
          </w:tcPr>
          <w:p>
            <w:pPr>
              <w:pStyle w:val="Normal"/>
              <w:tabs>
                <w:tab w:val="clear" w:pos="720"/>
                <w:tab w:val="left" w:pos="1440" w:leader="none"/>
              </w:tabs>
              <w:rPr/>
            </w:pPr>
            <w:r>
              <w:rPr/>
              <w:t>Order Instituting Investigation into implementation of Assembly Bill 970 regarding the identification of electric transmission and distribution constraints, actions to resolve those constraints, and related matters affecting the reliability of electric supply.</w:t>
            </w:r>
          </w:p>
          <w:p>
            <w:pPr>
              <w:pStyle w:val="Normal"/>
              <w:tabs>
                <w:tab w:val="clear" w:pos="720"/>
                <w:tab w:val="left" w:pos="1440" w:leader="none"/>
              </w:tabs>
              <w:jc w:val="end"/>
              <w:rPr/>
            </w:pPr>
            <w:r>
              <w:rPr/>
            </w:r>
          </w:p>
        </w:tc>
        <w:tc>
          <w:tcPr>
            <w:tcW w:w="4968" w:type="dxa"/>
            <w:tcBorders>
              <w:top w:val="dashed" w:sz="6" w:space="0" w:color="auto"/>
              <w:start w:val="dashed" w:sz="6" w:space="0" w:color="auto"/>
              <w:bottom w:val="dashed" w:sz="6" w:space="0" w:color="auto"/>
              <w:end w:val="dashed" w:sz="6" w:space="0" w:color="auto"/>
            </w:tcBorders>
          </w:tcPr>
          <w:p>
            <w:pPr>
              <w:pStyle w:val="Normal"/>
              <w:snapToGrid w:val="false"/>
              <w:ind w:start="252" w:end="0"/>
              <w:rPr/>
            </w:pPr>
            <w:r>
              <w:rPr/>
            </w:r>
          </w:p>
          <w:p>
            <w:pPr>
              <w:pStyle w:val="Normal"/>
              <w:ind w:start="252" w:end="0"/>
              <w:rPr/>
            </w:pPr>
            <w:r>
              <w:rPr/>
            </w:r>
          </w:p>
          <w:p>
            <w:pPr>
              <w:pStyle w:val="Normal"/>
              <w:ind w:start="252" w:end="0"/>
              <w:rPr/>
            </w:pPr>
            <w:r>
              <w:rPr/>
              <w:t>Investigation No. 00-11-001</w:t>
              <w:br/>
              <w:t>(Filed November 2, 2000)</w:t>
            </w:r>
          </w:p>
          <w:p>
            <w:pPr>
              <w:pStyle w:val="Normal"/>
              <w:ind w:start="252" w:end="0"/>
              <w:jc w:val="center"/>
              <w:rPr/>
            </w:pPr>
            <w:r>
              <w:rPr/>
            </w:r>
          </w:p>
          <w:p>
            <w:pPr>
              <w:pStyle w:val="Normal"/>
              <w:ind w:start="252" w:end="0"/>
              <w:rPr/>
            </w:pPr>
            <w:r>
              <w:rPr/>
            </w:r>
          </w:p>
        </w:tc>
      </w:tr>
    </w:tbl>
    <w:p>
      <w:pPr>
        <w:pStyle w:val="Normal"/>
        <w:jc w:val="center"/>
        <w:rPr>
          <w:b/>
          <w:bCs/>
        </w:rPr>
      </w:pPr>
      <w:r>
        <w:rPr>
          <w:b/>
          <w:bCs/>
        </w:rPr>
      </w:r>
    </w:p>
    <w:p>
      <w:pPr>
        <w:pStyle w:val="Normal"/>
        <w:jc w:val="center"/>
        <w:rPr>
          <w:b/>
          <w:bCs/>
        </w:rPr>
      </w:pPr>
      <w:r>
        <w:rPr>
          <w:b/>
          <w:bCs/>
        </w:rPr>
      </w:r>
    </w:p>
    <w:p>
      <w:pPr>
        <w:pStyle w:val="BodyText"/>
        <w:spacing w:lineRule="exact" w:line="240"/>
        <w:ind w:hanging="0" w:end="0"/>
        <w:jc w:val="center"/>
        <w:rPr>
          <w:b/>
          <w:bCs/>
        </w:rPr>
      </w:pPr>
      <w:r>
        <w:rPr>
          <w:b/>
          <w:bCs/>
        </w:rPr>
        <w:t>PREHEARING CONFERENCE STATEMENT OF</w:t>
      </w:r>
    </w:p>
    <w:p>
      <w:pPr>
        <w:pStyle w:val="BodyText"/>
        <w:spacing w:lineRule="exact" w:line="240"/>
        <w:ind w:hanging="0" w:end="0"/>
        <w:jc w:val="center"/>
        <w:rPr>
          <w:b/>
          <w:bCs/>
        </w:rPr>
      </w:pPr>
      <w:r>
        <w:rPr>
          <w:b/>
          <w:bCs/>
        </w:rPr>
        <w:t>PACIFIC GAS AND ELECTRIC COMPANY</w:t>
      </w:r>
    </w:p>
    <w:p>
      <w:pPr>
        <w:pStyle w:val="BodyText"/>
        <w:rPr>
          <w:b/>
          <w:bCs/>
        </w:rPr>
      </w:pPr>
      <w:r>
        <w:rPr>
          <w:b/>
          <w:bCs/>
        </w:rPr>
      </w:r>
    </w:p>
    <w:p>
      <w:pPr>
        <w:pStyle w:val="BodyText"/>
        <w:rPr/>
      </w:pPr>
      <w:r>
        <w:rPr/>
        <w:t xml:space="preserve">Pursuant to the Assigned Administrative Law Judge’s Ruling and Notice of Further Prehearing Conference of June 25, 2001 (the “ALJ Ruling”), PG&amp;E files this Prehearing Conference Statement in anticipation of the Prehearing Conference scheduled for July 10, 2001. </w:t>
      </w:r>
    </w:p>
    <w:p>
      <w:pPr>
        <w:pStyle w:val="Heading1"/>
        <w:tabs>
          <w:tab w:val="clear" w:pos="720"/>
          <w:tab w:val="left" w:pos="0" w:leader="none"/>
        </w:tabs>
        <w:ind w:hanging="720" w:start="720"/>
        <w:rPr/>
      </w:pPr>
      <w:r>
        <w:rPr/>
        <w:t>SCOPE OF FALL HEARINGS</w:t>
      </w:r>
    </w:p>
    <w:p>
      <w:pPr>
        <w:pStyle w:val="BodyText"/>
        <w:rPr/>
      </w:pPr>
      <w:r>
        <w:rPr/>
        <w:t xml:space="preserve">The ALJ Ruling states that, in general, the focus of this fall’s hearings in this matter will be “additional high priority transmission issues,” specifically the “cost-effectiveness of top priority in-state upgrades that will produce net ratepayer value.”  ALJ Ruling at 2.  The hearings “may initiate a CPCN process for one or more transmission projects, may address generic ratepayer/economic valuation issues, or other topics, as appropriate.”  </w:t>
      </w:r>
      <w:r>
        <w:rPr>
          <w:i/>
          <w:iCs/>
        </w:rPr>
        <w:t xml:space="preserve">Id.  </w:t>
      </w:r>
      <w:r>
        <w:rPr/>
        <w:t xml:space="preserve">Earlier in this proceeding the Commission indicated its intent to focus on those projects that required a certificate of public convenience and necessity (“CPCN”) prior to construction.  This makes sense given that, under its own rules, the Commission does not require applicants for permits to construct (“PTC”) to make a showing of project need, or provide cost estimates or other economic analysis, and does not require any prior approval of transmission projects that fall within one of General Order 131-D’s various exemptions.  </w:t>
      </w:r>
      <w:r>
        <w:rPr>
          <w:i/>
          <w:iCs/>
        </w:rPr>
        <w:t xml:space="preserve">See </w:t>
      </w:r>
      <w:r>
        <w:rPr/>
        <w:t xml:space="preserve">General Order 131-D, Section IX(B)(1)(f); </w:t>
      </w:r>
      <w:r>
        <w:rPr>
          <w:i/>
          <w:iCs/>
        </w:rPr>
        <w:t xml:space="preserve">Id. </w:t>
      </w:r>
      <w:r>
        <w:rPr/>
        <w:t xml:space="preserve">at Section IX(A-B).  Various parties have also commented on the need to focus these proceedings on larger projects of statewide importance, and on projects which are far enough along in their development that presently available need, cost, and project scope information is sufficient to allow a meaningful analysis of the cost-effectiveness issues in which the Commission is interested.  </w:t>
      </w:r>
      <w:r>
        <w:rPr>
          <w:i/>
          <w:iCs/>
        </w:rPr>
        <w:t xml:space="preserve">See, e.g., </w:t>
      </w:r>
      <w:r>
        <w:rPr/>
        <w:t xml:space="preserve">Pacific Gas and Electric Company’s Response to Administrative Law Judge Gottstein’s Ruling at the March 13, 2001 Prehearing Conference, at 1-2.      </w:t>
      </w:r>
    </w:p>
    <w:p>
      <w:pPr>
        <w:pStyle w:val="BodyText"/>
        <w:rPr/>
      </w:pPr>
      <w:r>
        <w:rPr/>
        <w:t xml:space="preserve">With these priorities in mind, it does not appear that PG&amp;E has any transmission projects appropriate for inclusion in this fall’s hearings.  While the Los Banos-Gates 500 kV Transmission Project (the “Path 15 Project”) raises issues of statewide importance and has progressed to the point where a preferred route has been identified and a detailed cost estimate prepared, that project is the subject of a pending conditional CPCN application (A.01-04-012).  There is no need for the Commission to conduct a duplicative analysis of the Path 15 project as part of the instant investigation.  The only other transmission projects PG&amp;E currently plans that may require a CPCN – the Vaca-Lakeville 230 kV Project in Sonoma and Napa Counties, the Jefferson-Martin 230 kV project in San Francisco, the Fresno Long-Term project, and the Bay Area 500 kV substation project – are all longer-term, locally- or regionally-focused projects not planned to be operational until 2004, 2005, 2006, and 2007, respectively.  </w:t>
      </w:r>
    </w:p>
    <w:p>
      <w:pPr>
        <w:pStyle w:val="BodyText"/>
        <w:rPr/>
      </w:pPr>
      <w:r>
        <w:rPr/>
        <w:t xml:space="preserve">As discussed at earlier prehearing conferences in this matter, PG&amp;E’s Jefferson-Martin 230 kV transmission line project, also known as the “San Francisco Long-Term Project,” is not needed to be in service until approximately September 2005, or later depending on the amount and location of new generation development.  PG&amp;E does not expect to file a CPCN application for this project until approximately September 2002.  Meanwhile, PG&amp;E continues its efforts to develop a proposed route for the Jefferson-Martin line via local agency consultations, preliminary environmental assessments, and the like.  Along with Commission staff, the City and County of San Francisco, and other stakeholders, PG&amp;E continues to participate in ISO-sponsored stakeholder meetings concerning the San Francisco Long-Term Project, with the latest such meeting having taken place on June 5, 2001.  However, until substantial additional information is developed, inclusion of the San Francisco Long-Term Project in this proceeding would be counterproductive and would require the diversion of resources that are far better spent on project development activities.      </w:t>
      </w:r>
    </w:p>
    <w:p>
      <w:pPr>
        <w:pStyle w:val="BodyText"/>
        <w:rPr/>
      </w:pPr>
      <w:r>
        <w:rPr/>
        <w:t xml:space="preserve">  </w:t>
      </w:r>
      <w:r>
        <w:rPr/>
        <w:t xml:space="preserve">More generally, PG&amp;E remains concerned that in launching yet another set of hearings to explore transmission planning issues, the CPUC may be duplicating the role of the California Independent System Operator (“ISO”).  Consistent with its obligations under the Public Utilities Code and Federal Energy Regulatory Commission tariffs, the ISO has developed a comprehensive transmission planning and approval process.  Given this extensive process, it would be wasteful and duplicative for the CPUC to engage in the same long-term transmission planning efforts as the ISO.  Moreover, in the case of reliability-driven projects such as San Francsico Long-Term, as opposed, perhaps, to “economic” projects such as Path 15, it is useless to attempt cost-effectiveness analysis prior to the time at which the cost of the various routing alternatives can be ascertained via Commission’s CEQA process.  As seen most recently in PG&amp;E’s Northeast San Jose Transmission Reinforcement Project CPCN proceedings, in which the project route ultimately developed by the Energy Division and approved by the Commission increased the overall project cost from $77 million to over $180 million, the CEQA analysis can result in major adjustments to the “cost” side of the “benifit-cost” equation.  Preliminary evaluations of cost-effectiveness prior to the time the range of possible costs can be known will be of little or no utility to anyone. </w:t>
      </w:r>
    </w:p>
    <w:p>
      <w:pPr>
        <w:pStyle w:val="Heading1"/>
        <w:tabs>
          <w:tab w:val="clear" w:pos="720"/>
          <w:tab w:val="left" w:pos="0" w:leader="none"/>
        </w:tabs>
        <w:ind w:hanging="720" w:start="720"/>
        <w:rPr/>
      </w:pPr>
      <w:r>
        <w:rPr/>
        <w:t>SCHEDULE FOR FALL HEARINGS</w:t>
      </w:r>
    </w:p>
    <w:p>
      <w:pPr>
        <w:pStyle w:val="BodyText"/>
        <w:rPr/>
      </w:pPr>
      <w:r>
        <w:rPr/>
        <w:t xml:space="preserve">With regard to schedule, PG&amp;E notes that hearings on PG&amp;E’s Conditional Application for a CPCN authorizing construction of the Path 15 Project are cuurently expected to take place in November 2001.  Particularly to the extent that the fall hearings in this investigation might address transmission projects in PG&amp;E’s service territory, the schedules in the two proceedings should be coordinated to avoid overlap.  </w:t>
      </w:r>
    </w:p>
    <w:p>
      <w:pPr>
        <w:pStyle w:val="Normal"/>
        <w:keepNext w:val="true"/>
        <w:keepLines/>
        <w:spacing w:lineRule="exact" w:line="480"/>
        <w:ind w:start="720" w:end="0"/>
        <w:rPr/>
      </w:pPr>
      <w:r>
        <w:rPr/>
      </w:r>
    </w:p>
    <w:p>
      <w:pPr>
        <w:pStyle w:val="Normal"/>
        <w:keepNext w:val="true"/>
        <w:keepLines/>
        <w:ind w:start="3330" w:end="0"/>
        <w:rPr/>
      </w:pPr>
      <w:bookmarkStart w:id="1" w:name="SignaturePleadingCPUC"/>
      <w:r>
        <w:rPr/>
        <w:t>Respectfully submitted,</w:t>
      </w:r>
    </w:p>
    <w:p>
      <w:pPr>
        <w:pStyle w:val="Normal"/>
        <w:keepNext w:val="true"/>
        <w:keepLines/>
        <w:ind w:start="3330" w:end="0"/>
        <w:rPr/>
      </w:pPr>
      <w:r>
        <w:rPr/>
      </w:r>
    </w:p>
    <w:p>
      <w:pPr>
        <w:pStyle w:val="Normal"/>
        <w:keepNext w:val="true"/>
        <w:keepLines/>
        <w:ind w:start="3330" w:end="0"/>
        <w:rPr/>
      </w:pPr>
      <w:r>
        <w:rPr/>
        <w:t>MICHELLE L. WILSON</w:t>
      </w:r>
    </w:p>
    <w:p>
      <w:pPr>
        <w:pStyle w:val="Normal"/>
        <w:keepNext w:val="true"/>
        <w:keepLines/>
        <w:ind w:start="3330" w:end="0"/>
        <w:rPr/>
      </w:pPr>
      <w:r>
        <w:rPr/>
        <w:t>DAVID T. KRASKA</w:t>
      </w:r>
    </w:p>
    <w:p>
      <w:pPr>
        <w:pStyle w:val="Normal"/>
        <w:keepNext w:val="true"/>
        <w:keepLines/>
        <w:ind w:start="3330" w:end="0"/>
        <w:rPr/>
      </w:pPr>
      <w:r>
        <w:rPr/>
      </w:r>
    </w:p>
    <w:p>
      <w:pPr>
        <w:pStyle w:val="Normal"/>
        <w:keepNext w:val="true"/>
        <w:keepLines/>
        <w:ind w:start="3330" w:end="0"/>
        <w:rPr/>
      </w:pPr>
      <w:r>
        <w:rPr/>
      </w:r>
    </w:p>
    <w:p>
      <w:pPr>
        <w:pStyle w:val="Normal"/>
        <w:keepNext w:val="true"/>
        <w:keepLines/>
        <w:tabs>
          <w:tab w:val="clear" w:pos="720"/>
          <w:tab w:val="left" w:pos="7920" w:leader="none"/>
        </w:tabs>
        <w:spacing w:lineRule="atLeast" w:line="240"/>
        <w:ind w:start="3326" w:end="0"/>
        <w:rPr/>
      </w:pPr>
      <w:r>
        <w:rPr/>
        <w:t xml:space="preserve">By </w:t>
      </w:r>
      <w:r>
        <w:rPr>
          <w:u w:val="single"/>
        </w:rPr>
        <w:tab/>
      </w:r>
    </w:p>
    <w:p>
      <w:pPr>
        <w:pStyle w:val="Normal"/>
        <w:keepNext w:val="true"/>
        <w:keepLines/>
        <w:tabs>
          <w:tab w:val="clear" w:pos="720"/>
          <w:tab w:val="center" w:pos="5760" w:leader="none"/>
          <w:tab w:val="left" w:pos="7560" w:leader="none"/>
        </w:tabs>
        <w:ind w:start="3330" w:end="0"/>
        <w:rPr/>
      </w:pPr>
      <w:r>
        <w:rPr/>
        <w:tab/>
        <w:t>MICHELLE L. WILSON</w:t>
      </w:r>
    </w:p>
    <w:p>
      <w:pPr>
        <w:pStyle w:val="Normal"/>
        <w:keepNext w:val="true"/>
        <w:keepLines/>
        <w:tabs>
          <w:tab w:val="clear" w:pos="720"/>
          <w:tab w:val="center" w:pos="5760" w:leader="none"/>
          <w:tab w:val="left" w:pos="7560" w:leader="none"/>
        </w:tabs>
        <w:ind w:start="3330" w:end="0"/>
        <w:rPr/>
      </w:pPr>
      <w:r>
        <w:rPr/>
      </w:r>
    </w:p>
    <w:p>
      <w:pPr>
        <w:pStyle w:val="Normal"/>
        <w:keepNext w:val="true"/>
        <w:keepLines/>
        <w:ind w:start="3330" w:end="0"/>
        <w:rPr/>
      </w:pPr>
      <w:r>
        <w:rPr/>
      </w:r>
    </w:p>
    <w:p>
      <w:pPr>
        <w:pStyle w:val="Normal"/>
        <w:keepNext w:val="true"/>
        <w:keepLines/>
        <w:ind w:start="3330" w:end="0"/>
        <w:rPr/>
      </w:pPr>
      <w:r>
        <w:rPr/>
        <w:t>Law Department</w:t>
      </w:r>
    </w:p>
    <w:p>
      <w:pPr>
        <w:pStyle w:val="Normal"/>
        <w:keepNext w:val="true"/>
        <w:keepLines/>
        <w:ind w:start="3330" w:end="0"/>
        <w:rPr/>
      </w:pPr>
      <w:r>
        <w:rPr/>
        <w:t>Pacific Gas and Electric Company</w:t>
      </w:r>
    </w:p>
    <w:p>
      <w:pPr>
        <w:pStyle w:val="Normal"/>
        <w:keepNext w:val="true"/>
        <w:keepLines/>
        <w:ind w:start="3330" w:end="0"/>
        <w:rPr/>
      </w:pPr>
      <w:r>
        <w:rPr/>
        <w:t>Post Office Box 7442</w:t>
      </w:r>
    </w:p>
    <w:p>
      <w:pPr>
        <w:pStyle w:val="Normal"/>
        <w:keepNext w:val="true"/>
        <w:keepLines/>
        <w:ind w:start="3330" w:end="0"/>
        <w:rPr/>
      </w:pPr>
      <w:r>
        <w:rPr/>
        <w:t>San Francisco, CA  94120</w:t>
      </w:r>
    </w:p>
    <w:p>
      <w:pPr>
        <w:pStyle w:val="Normal"/>
        <w:keepNext w:val="true"/>
        <w:keepLines/>
        <w:ind w:start="3330" w:end="0"/>
        <w:rPr/>
      </w:pPr>
      <w:r>
        <w:rPr/>
        <w:t>Telephone: (415) 973-6655</w:t>
      </w:r>
    </w:p>
    <w:p>
      <w:pPr>
        <w:pStyle w:val="Normal"/>
        <w:keepNext w:val="true"/>
        <w:keepLines/>
        <w:ind w:start="3330" w:end="0"/>
        <w:rPr/>
      </w:pPr>
      <w:r>
        <w:rPr/>
        <w:t>Facsimile:   (415) 973-0516</w:t>
      </w:r>
    </w:p>
    <w:p>
      <w:pPr>
        <w:pStyle w:val="Normal"/>
        <w:keepNext w:val="true"/>
        <w:keepLines/>
        <w:ind w:start="3330" w:end="0"/>
        <w:rPr/>
      </w:pPr>
      <w:r>
        <w:rPr/>
        <w:t>E-mail:       mlw3@pge.com</w:t>
      </w:r>
    </w:p>
    <w:p>
      <w:pPr>
        <w:pStyle w:val="Normal"/>
        <w:keepNext w:val="true"/>
        <w:keepLines/>
        <w:ind w:start="3330" w:end="0"/>
        <w:rPr/>
      </w:pPr>
      <w:r>
        <w:rPr/>
      </w:r>
    </w:p>
    <w:p>
      <w:pPr>
        <w:pStyle w:val="Normal"/>
        <w:keepNext w:val="true"/>
        <w:keepLines/>
        <w:ind w:start="3330" w:end="0"/>
        <w:rPr/>
      </w:pPr>
      <w:r>
        <w:rPr/>
        <w:t>Attorneys for</w:t>
      </w:r>
    </w:p>
    <w:p>
      <w:pPr>
        <w:pStyle w:val="Normal"/>
        <w:keepNext w:val="true"/>
        <w:keepLines/>
        <w:ind w:start="3330" w:end="0"/>
        <w:rPr/>
      </w:pPr>
      <w:r>
        <w:rPr/>
        <w:t>PACIFIC GAS AND ELECTRIC COMPANY</w:t>
      </w:r>
    </w:p>
    <w:p>
      <w:pPr>
        <w:pStyle w:val="Normal"/>
        <w:keepNext w:val="true"/>
        <w:keepLines/>
        <w:ind w:start="3330" w:end="0"/>
        <w:rPr/>
      </w:pPr>
      <w:r>
        <w:rPr/>
      </w:r>
    </w:p>
    <w:p>
      <w:pPr>
        <w:pStyle w:val="Normal"/>
        <w:keepNext w:val="true"/>
        <w:keepLines/>
        <w:ind w:start="4680" w:end="0"/>
        <w:rPr/>
      </w:pPr>
      <w:r>
        <w:rPr/>
      </w:r>
    </w:p>
    <w:p>
      <w:pPr>
        <w:pStyle w:val="Normal"/>
        <w:keepLines/>
        <w:rPr/>
      </w:pPr>
      <w:bookmarkStart w:id="2" w:name="PleadingCPUCModel"/>
      <w:bookmarkStart w:id="3" w:name="SignaturePleadingCPUC"/>
      <w:r>
        <w:rPr/>
        <w:t xml:space="preserve">Dated: </w:t>
      </w:r>
      <w:bookmarkEnd w:id="2"/>
      <w:bookmarkEnd w:id="3"/>
      <w:r>
        <w:rPr/>
        <w:t xml:space="preserve"> July 3, 2001</w:t>
      </w:r>
    </w:p>
    <w:sectPr>
      <w:footerReference w:type="default" r:id="rId2"/>
      <w:footerReference w:type="first" r:id="rId3"/>
      <w:type w:val="nextPage"/>
      <w:pgSz w:w="12240" w:h="15840"/>
      <w:pgMar w:left="1800" w:right="1080" w:gutter="0" w:header="0" w:top="1310" w:footer="432" w:bottom="1080"/>
      <w:pgNumType w:start="0"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before="240" w:after="0"/>
      <w:ind w:hanging="720" w:start="720" w:end="0"/>
      <w:outlineLvl w:val="0"/>
    </w:pPr>
    <w:rPr>
      <w:b/>
      <w:bCs/>
      <w:caps/>
    </w:rPr>
  </w:style>
  <w:style w:type="paragraph" w:styleId="Heading2">
    <w:name w:val="heading 2"/>
    <w:basedOn w:val="Heading1"/>
    <w:next w:val="BodyText"/>
    <w:qFormat/>
    <w:pPr>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Courier New" w:hAnsi="Courier New" w:eastAsia="Courier New" w:cs="Courier New"/>
      <w:color w:val="auto"/>
      <w:spacing w:val="0"/>
      <w:kern w:val="0"/>
      <w:sz w:val="24"/>
      <w:szCs w:val="24"/>
      <w:u w:val="none"/>
      <w:vertAlign w:val="superscript"/>
      <w:lang w:val="en-US"/>
    </w:rPr>
  </w:style>
  <w:style w:type="character" w:styleId="PageNumber">
    <w:name w:val="page number"/>
    <w:basedOn w:val="DefaultParagraphFont"/>
    <w:rPr>
      <w:rFonts w:ascii="Times New Roman" w:hAnsi="Times New Roman" w:eastAsia="Times New Roman" w:cs="Times New Roman"/>
      <w:color w:val="auto"/>
      <w:spacing w:val="0"/>
      <w:kern w:val="0"/>
      <w:position w:val="0"/>
      <w:sz w:val="24"/>
      <w:sz w:val="24"/>
      <w:szCs w:val="24"/>
      <w:u w:val="none"/>
      <w:vertAlign w:val="baseline"/>
      <w:lang w:val="en-US"/>
    </w:rPr>
  </w:style>
  <w:style w:type="paragraph" w:styleId="Heading">
    <w:name w:val="Heading"/>
    <w:basedOn w:val="Normal"/>
    <w:next w:val="BodyText"/>
    <w:qFormat/>
    <w:pPr>
      <w:spacing w:before="240" w:after="240"/>
      <w:ind w:hanging="0" w:start="720" w:end="720"/>
      <w:jc w:val="center"/>
    </w:pPr>
    <w:rPr>
      <w:b/>
      <w:bCs/>
      <w:kern w:val="2"/>
    </w:rPr>
  </w:style>
  <w:style w:type="paragraph" w:styleId="BodyText">
    <w:name w:val="Body Text"/>
    <w:basedOn w:val="Normal"/>
    <w:pPr>
      <w:widowControl w:val="false"/>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next w:val="BodyText"/>
    <w:qFormat/>
    <w:pPr>
      <w:ind w:hanging="0" w:start="360" w:end="0"/>
    </w:pPr>
    <w:rPr/>
  </w:style>
  <w:style w:type="paragraph" w:styleId="Centered">
    <w:name w:val="Centered"/>
    <w:basedOn w:val="Normal"/>
    <w:next w:val="BodyText"/>
    <w:qFormat/>
    <w:pPr>
      <w:spacing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9821" w:leader="none"/>
      </w:tabs>
    </w:pPr>
    <w:rPr/>
  </w:style>
  <w:style w:type="paragraph" w:styleId="FootnoteText">
    <w:name w:val="footnote text"/>
    <w:basedOn w:val="Normal"/>
    <w:pPr>
      <w:tabs>
        <w:tab w:val="clear" w:pos="720"/>
        <w:tab w:val="left" w:pos="432" w:leader="none"/>
      </w:tabs>
      <w:spacing w:lineRule="auto" w:line="240" w:before="0" w:after="120"/>
      <w:ind w:hanging="432" w:start="432" w:end="0"/>
    </w:pPr>
    <w:rPr/>
  </w:style>
  <w:style w:type="paragraph" w:styleId="Header">
    <w:name w:val="header"/>
    <w:basedOn w:val="Normal"/>
    <w:pPr>
      <w:widowControl w:val="false"/>
      <w:tabs>
        <w:tab w:val="clear" w:pos="720"/>
        <w:tab w:val="center" w:pos="4320" w:leader="none"/>
        <w:tab w:val="right" w:pos="9821"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EnvelopeAddress">
    <w:name w:val="envelope address"/>
    <w:basedOn w:val="Normal"/>
    <w:pPr>
      <w:spacing w:lineRule="auto" w:line="240"/>
      <w:ind w:hanging="0" w:start="2880" w:end="0"/>
    </w:pPr>
    <w:rPr/>
  </w:style>
  <w:style w:type="paragraph" w:styleId="MacroText">
    <w:name w:val="Macro Text"/>
    <w:qFormat/>
    <w:pPr>
      <w:widowControl/>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NormalIndent">
    <w:name w:val="Normal Indent"/>
    <w:basedOn w:val="Normal"/>
    <w:qFormat/>
    <w:pPr>
      <w:ind w:hanging="0" w:start="720" w:end="720"/>
    </w:pPr>
    <w:rPr/>
  </w:style>
  <w:style w:type="paragraph" w:styleId="TOC1">
    <w:name w:val="toc 1"/>
    <w:basedOn w:val="Normal"/>
    <w:pPr>
      <w:keepLines/>
      <w:tabs>
        <w:tab w:val="clear" w:pos="720"/>
        <w:tab w:val="right" w:pos="9821" w:leader="dot"/>
      </w:tabs>
      <w:spacing w:before="0" w:after="120"/>
      <w:ind w:hanging="806" w:start="806" w:end="1440"/>
    </w:pPr>
    <w:rPr>
      <w:caps/>
    </w:rPr>
  </w:style>
  <w:style w:type="paragraph" w:styleId="TOC2">
    <w:name w:val="toc 2"/>
    <w:basedOn w:val="Normal"/>
    <w:pPr>
      <w:tabs>
        <w:tab w:val="clear" w:pos="720"/>
        <w:tab w:val="right" w:pos="9821" w:leader="dot"/>
      </w:tabs>
      <w:spacing w:before="0" w:after="120"/>
      <w:ind w:hanging="634" w:start="1440" w:end="1440"/>
    </w:pPr>
    <w:rPr/>
  </w:style>
  <w:style w:type="paragraph" w:styleId="TOC3">
    <w:name w:val="toc 3"/>
    <w:basedOn w:val="Normal"/>
    <w:pPr>
      <w:keepLines/>
      <w:tabs>
        <w:tab w:val="clear" w:pos="720"/>
        <w:tab w:val="right" w:pos="9821" w:leader="dot"/>
      </w:tabs>
      <w:spacing w:before="0" w:after="120"/>
      <w:ind w:hanging="720" w:start="2160" w:end="1440"/>
    </w:pPr>
    <w:rPr/>
  </w:style>
  <w:style w:type="paragraph" w:styleId="TOC4">
    <w:name w:val="toc 4"/>
    <w:basedOn w:val="Normal"/>
    <w:pPr>
      <w:keepLines/>
      <w:tabs>
        <w:tab w:val="clear" w:pos="720"/>
        <w:tab w:val="right" w:pos="9821" w:leader="dot"/>
      </w:tabs>
      <w:spacing w:before="0" w:after="120"/>
      <w:ind w:hanging="720" w:start="2880" w:end="1440"/>
    </w:pPr>
    <w:rPr/>
  </w:style>
  <w:style w:type="paragraph" w:styleId="TOC5">
    <w:name w:val="toc 5"/>
    <w:basedOn w:val="Normal"/>
    <w:pPr>
      <w:keepLines/>
      <w:tabs>
        <w:tab w:val="clear" w:pos="720"/>
        <w:tab w:val="right" w:pos="9821" w:leader="dot"/>
      </w:tabs>
      <w:spacing w:before="0" w:after="120"/>
      <w:ind w:hanging="720" w:start="3600" w:end="1440"/>
    </w:pPr>
    <w:rPr/>
  </w:style>
  <w:style w:type="paragraph" w:styleId="TOC6">
    <w:name w:val="toc 6"/>
    <w:basedOn w:val="Normal"/>
    <w:pPr>
      <w:keepLines/>
      <w:tabs>
        <w:tab w:val="clear" w:pos="720"/>
        <w:tab w:val="right" w:pos="9821" w:leader="dot"/>
      </w:tabs>
      <w:spacing w:before="0" w:after="120"/>
      <w:ind w:hanging="720" w:start="4320" w:end="1440"/>
    </w:pPr>
    <w:rPr/>
  </w:style>
  <w:style w:type="paragraph" w:styleId="TOC7">
    <w:name w:val="toc 7"/>
    <w:basedOn w:val="Normal"/>
    <w:pPr>
      <w:keepLines/>
      <w:tabs>
        <w:tab w:val="clear" w:pos="720"/>
        <w:tab w:val="right" w:pos="9821" w:leader="dot"/>
      </w:tabs>
      <w:spacing w:before="0" w:after="120"/>
      <w:ind w:hanging="806" w:start="5126" w:end="1440"/>
    </w:pPr>
    <w:rPr/>
  </w:style>
  <w:style w:type="paragraph" w:styleId="TOC8">
    <w:name w:val="toc 8"/>
    <w:basedOn w:val="Normal"/>
    <w:pPr>
      <w:keepLines/>
      <w:tabs>
        <w:tab w:val="clear" w:pos="720"/>
        <w:tab w:val="right" w:pos="9821" w:leader="dot"/>
      </w:tabs>
      <w:spacing w:before="0" w:after="120"/>
      <w:ind w:hanging="634" w:start="5760" w:end="1440"/>
    </w:pPr>
    <w:rPr/>
  </w:style>
  <w:style w:type="paragraph" w:styleId="TOC9">
    <w:name w:val="toc 9"/>
    <w:basedOn w:val="Normal"/>
    <w:pPr>
      <w:keepLines/>
      <w:tabs>
        <w:tab w:val="clear" w:pos="720"/>
        <w:tab w:val="right" w:pos="9821" w:leader="dot"/>
      </w:tabs>
      <w:spacing w:before="0" w:after="120"/>
      <w:ind w:hanging="720" w:start="6480" w:end="144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TOAHeading">
    <w:name w:val="TOA Heading"/>
    <w:basedOn w:val="Normal"/>
    <w:next w:val="TableofAuthorities"/>
    <w:qFormat/>
    <w:pPr>
      <w:keepNext w:val="true"/>
      <w:spacing w:before="120" w:after="120"/>
    </w:pPr>
    <w:rPr>
      <w:b/>
      <w:bCs/>
      <w:caps/>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LetterClosing">
    <w:name w:val="LetterClosing"/>
    <w:basedOn w:val="Normal"/>
    <w:next w:val="Normal"/>
    <w:qFormat/>
    <w:pPr/>
    <w:rPr/>
  </w:style>
  <w:style w:type="paragraph" w:styleId="Quote">
    <w:name w:val="Quote"/>
    <w:basedOn w:val="Normal"/>
    <w:next w:val="Normal"/>
    <w:qFormat/>
    <w:pPr>
      <w:spacing w:before="240" w:after="0"/>
      <w:ind w:hanging="0" w:start="1440" w:end="1440"/>
    </w:pPr>
    <w:rPr/>
  </w:style>
  <w:style w:type="paragraph" w:styleId="SDP">
    <w:name w:val="SDP"/>
    <w:basedOn w:val="Normal"/>
    <w:qFormat/>
    <w:pPr>
      <w:spacing w:lineRule="auto" w:line="24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PLDCPUC.DOT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2001-07-03T18:00:00Z</dcterms:created>
  <dc:creator>.</dc:creator>
  <dc:description/>
  <dc:language>en-CA</dc:language>
  <cp:lastModifiedBy>.</cp:lastModifiedBy>
  <cp:lastPrinted>2001-07-03T16:31:00Z</cp:lastPrinted>
  <dcterms:modified xsi:type="dcterms:W3CDTF">2001-07-03T21:08:00Z</dcterms:modified>
  <cp:revision>11</cp:revision>
  <dc:subject/>
  <dc:title>PG&amp;E CPUC Pleading Template, rev. 8/1/96, The Legal MacPac</dc:title>
</cp:coreProperties>
</file>