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keepLines w:val="false"/>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 xml:space="preserve">BEFORE THE PUBLIC UTILITIES COMMISSION </w:t>
      </w:r>
    </w:p>
    <w:p>
      <w:pPr>
        <w:pStyle w:val="Heading1"/>
        <w:keepNext w:val="false"/>
        <w:keepLines w:val="false"/>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OF THE STATE OF CALIFORNIA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szCs w:val="22"/>
        </w:rPr>
      </w:pPr>
      <w:r>
        <w:rPr>
          <w:sz w:val="22"/>
          <w:szCs w:val="22"/>
        </w:rPr>
        <w:t>_____________________________________________</w:t>
      </w:r>
    </w:p>
    <w:p>
      <w:pPr>
        <w:pStyle w:val="Normal"/>
        <w:rPr>
          <w:sz w:val="20"/>
          <w:szCs w:val="20"/>
        </w:rPr>
      </w:pPr>
      <w:r>
        <w:rPr>
          <w:sz w:val="20"/>
          <w:szCs w:val="20"/>
        </w:rPr>
        <w:tab/>
        <w:tab/>
        <w:tab/>
        <w:tab/>
        <w:tab/>
        <w:tab/>
        <w:tab/>
        <w:t>)</w:t>
      </w:r>
    </w:p>
    <w:p>
      <w:pPr>
        <w:pStyle w:val="Normal"/>
        <w:rPr/>
      </w:pPr>
      <w:r>
        <w:rPr/>
        <w:t xml:space="preserve">Order Instituting Investigation Into the </w:t>
        <w:tab/>
        <w:tab/>
        <w:t>)</w:t>
      </w:r>
    </w:p>
    <w:p>
      <w:pPr>
        <w:pStyle w:val="Normal"/>
        <w:rPr/>
      </w:pPr>
      <w:r>
        <w:rPr/>
        <w:t>Functioning of the Wholesale Electric</w:t>
        <w:tab/>
        <w:tab/>
        <w:t>)</w:t>
        <w:tab/>
        <w:tab/>
        <w:t>Investigation 00-08-___</w:t>
      </w:r>
    </w:p>
    <w:p>
      <w:pPr>
        <w:pStyle w:val="Normal"/>
        <w:rPr/>
      </w:pPr>
      <w:r>
        <w:rPr/>
        <w:t>Market and Associated Impact on Retail Rates</w:t>
        <w:tab/>
        <w:t>)</w:t>
        <w:tab/>
        <w:tab/>
        <w:t>Issued August 3, 2000</w:t>
      </w:r>
    </w:p>
    <w:p>
      <w:pPr>
        <w:pStyle w:val="Normal"/>
        <w:ind w:end="-1440"/>
        <w:jc w:val="both"/>
        <w:rPr>
          <w:sz w:val="20"/>
          <w:szCs w:val="20"/>
        </w:rPr>
      </w:pPr>
      <w:r>
        <w:rPr>
          <w:sz w:val="20"/>
          <w:szCs w:val="20"/>
        </w:rPr>
        <w:t>__________________________________________________ )</w:t>
      </w:r>
    </w:p>
    <w:p>
      <w:pPr>
        <w:pStyle w:val="Normal"/>
        <w:jc w:val="center"/>
        <w:rPr>
          <w:sz w:val="20"/>
          <w:szCs w:val="20"/>
        </w:rPr>
      </w:pPr>
      <w:r>
        <w:rPr>
          <w:sz w:val="20"/>
          <w:szCs w:val="20"/>
        </w:rPr>
        <w:tab/>
        <w:tab/>
        <w:tab/>
        <w:tab/>
        <w:tab/>
        <w:tab/>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b/>
          <w:bCs/>
          <w:sz w:val="20"/>
          <w:szCs w:val="20"/>
        </w:rPr>
      </w:pPr>
      <w:r>
        <w:rPr>
          <w:b/>
          <w:bCs/>
          <w:sz w:val="20"/>
          <w:szCs w:val="20"/>
        </w:rPr>
      </w:r>
    </w:p>
    <w:p>
      <w:pPr>
        <w:pStyle w:val="Normal"/>
        <w:jc w:val="center"/>
        <w:rPr>
          <w:b/>
          <w:bCs/>
        </w:rPr>
      </w:pPr>
      <w:r>
        <w:rPr>
          <w:b/>
          <w:bCs/>
        </w:rPr>
        <w:t>PREHEARING CONFERENCE STATEMENT OF ENRON CORPORATION</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both"/>
        <w:rPr/>
      </w:pPr>
      <w:r>
        <w:rPr>
          <w:b/>
          <w:bCs/>
        </w:rPr>
        <w:tab/>
        <w:tab/>
        <w:tab/>
        <w:tab/>
        <w:tab/>
        <w:tab/>
        <w:tab/>
      </w:r>
      <w:r>
        <w:rPr/>
        <w:t>Daniel W. Douglass</w:t>
      </w:r>
    </w:p>
    <w:p>
      <w:pPr>
        <w:pStyle w:val="Normal"/>
        <w:jc w:val="both"/>
        <w:rPr/>
      </w:pPr>
      <w:r>
        <w:rPr/>
        <w:tab/>
        <w:tab/>
        <w:tab/>
        <w:tab/>
        <w:tab/>
        <w:tab/>
        <w:tab/>
        <w:t>Arter &amp; Hadden LLP</w:t>
      </w:r>
    </w:p>
    <w:p>
      <w:pPr>
        <w:pStyle w:val="Normal"/>
        <w:jc w:val="both"/>
        <w:rPr/>
      </w:pPr>
      <w:r>
        <w:rPr/>
        <w:tab/>
        <w:tab/>
        <w:tab/>
        <w:tab/>
        <w:tab/>
        <w:tab/>
        <w:tab/>
        <w:t>5959 Topanga Canyon Boulevard</w:t>
      </w:r>
    </w:p>
    <w:p>
      <w:pPr>
        <w:pStyle w:val="Normal"/>
        <w:jc w:val="both"/>
        <w:rPr/>
      </w:pPr>
      <w:r>
        <w:rPr/>
        <w:tab/>
        <w:tab/>
        <w:tab/>
        <w:tab/>
        <w:tab/>
        <w:tab/>
        <w:tab/>
        <w:t>Suite 244</w:t>
      </w:r>
    </w:p>
    <w:p>
      <w:pPr>
        <w:pStyle w:val="Normal"/>
        <w:jc w:val="both"/>
        <w:rPr/>
      </w:pPr>
      <w:r>
        <w:rPr/>
        <w:tab/>
        <w:tab/>
        <w:tab/>
        <w:tab/>
        <w:tab/>
        <w:tab/>
        <w:tab/>
        <w:t>Woodland Hills, CA 91367</w:t>
      </w:r>
    </w:p>
    <w:p>
      <w:pPr>
        <w:pStyle w:val="Normal"/>
        <w:jc w:val="both"/>
        <w:rPr/>
      </w:pPr>
      <w:r>
        <w:rPr/>
        <w:tab/>
        <w:tab/>
        <w:tab/>
        <w:tab/>
        <w:tab/>
        <w:tab/>
        <w:tab/>
        <w:t>Telephone: (818) 596-2201</w:t>
      </w:r>
    </w:p>
    <w:p>
      <w:pPr>
        <w:pStyle w:val="Normal"/>
        <w:jc w:val="both"/>
        <w:rPr/>
      </w:pPr>
      <w:r>
        <w:rPr/>
        <w:tab/>
        <w:tab/>
        <w:tab/>
        <w:tab/>
        <w:tab/>
        <w:tab/>
        <w:tab/>
        <w:t>Facsimile: (818) 346-6502</w:t>
      </w:r>
    </w:p>
    <w:p>
      <w:pPr>
        <w:pStyle w:val="Normal"/>
        <w:jc w:val="both"/>
        <w:rPr/>
      </w:pPr>
      <w:r>
        <w:rPr/>
        <w:tab/>
        <w:tab/>
        <w:tab/>
        <w:tab/>
        <w:tab/>
        <w:tab/>
        <w:tab/>
        <w:t>E-mail: douglass@arterhadden.com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August 14, 2000</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sectPr>
      </w:pPr>
    </w:p>
    <w:p>
      <w:pPr>
        <w:sectPr>
          <w:type w:val="continuous"/>
          <w:pgSz w:w="12240" w:h="15840"/>
          <w:pgMar w:left="1440" w:right="1440" w:gutter="0" w:header="0" w:top="1440" w:footer="720" w:bottom="1440"/>
          <w:formProt w:val="false"/>
          <w:titlePg/>
          <w:textDirection w:val="lrTb"/>
        </w:sectPr>
        <w:pStyle w:val="Heading1"/>
        <w:keepNext w:val="false"/>
        <w:keepLines w:val="false"/>
        <w:numPr>
          <w:ilvl w:val="0"/>
          <w:numId w:val="0"/>
        </w:numPr>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start="-360" w:end="-360"/>
        <w:rPr/>
      </w:pPr>
      <w:r>
        <w:rPr/>
      </w:r>
      <w:r>
        <w:br w:type="page"/>
      </w:r>
    </w:p>
    <w:p>
      <w:pPr>
        <w:pStyle w:val="Heading1"/>
        <w:keepNext w:val="false"/>
        <w:keepLines w:val="false"/>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 xml:space="preserve">BEFORE THE PUBLIC UTILITIES COMMISSION </w:t>
      </w:r>
    </w:p>
    <w:p>
      <w:pPr>
        <w:pStyle w:val="Heading1"/>
        <w:keepNext w:val="false"/>
        <w:keepLines w:val="false"/>
        <w:tabs>
          <w:tab w:val="clear" w:pos="720"/>
          <w:tab w:val="left" w:pos="-1080" w:leader="none"/>
          <w:tab w:val="left" w:pos="-36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 w:val="left" w:pos="9000" w:leader="none"/>
          <w:tab w:val="left" w:pos="9720" w:leader="none"/>
          <w:tab w:val="left" w:pos="10440" w:leader="none"/>
        </w:tabs>
        <w:ind w:hanging="0" w:start="-360" w:end="-360"/>
        <w:rPr/>
      </w:pPr>
      <w:r>
        <w:rPr/>
        <w:t>OF THE STATE OF CALIFORNIA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2"/>
          <w:szCs w:val="22"/>
        </w:rPr>
      </w:pPr>
      <w:r>
        <w:rPr>
          <w:sz w:val="22"/>
          <w:szCs w:val="22"/>
        </w:rPr>
        <w:t>_____________________________________________</w:t>
      </w:r>
    </w:p>
    <w:p>
      <w:pPr>
        <w:pStyle w:val="Normal"/>
        <w:rPr>
          <w:sz w:val="20"/>
          <w:szCs w:val="20"/>
        </w:rPr>
      </w:pPr>
      <w:r>
        <w:rPr>
          <w:sz w:val="20"/>
          <w:szCs w:val="20"/>
        </w:rPr>
        <w:tab/>
        <w:tab/>
        <w:tab/>
        <w:tab/>
        <w:tab/>
        <w:tab/>
        <w:tab/>
        <w:t>)</w:t>
      </w:r>
    </w:p>
    <w:p>
      <w:pPr>
        <w:pStyle w:val="Normal"/>
        <w:rPr/>
      </w:pPr>
      <w:r>
        <w:rPr/>
        <w:t xml:space="preserve">Order Instituting Investigation Into the </w:t>
        <w:tab/>
        <w:tab/>
        <w:t>)</w:t>
      </w:r>
    </w:p>
    <w:p>
      <w:pPr>
        <w:pStyle w:val="Normal"/>
        <w:rPr/>
      </w:pPr>
      <w:r>
        <w:rPr/>
        <w:t>Functioning of the Wholesale Electric</w:t>
        <w:tab/>
        <w:tab/>
        <w:t>)</w:t>
        <w:tab/>
        <w:tab/>
        <w:t>Investigation _______</w:t>
      </w:r>
    </w:p>
    <w:p>
      <w:pPr>
        <w:pStyle w:val="Normal"/>
        <w:rPr/>
      </w:pPr>
      <w:r>
        <w:rPr/>
        <w:t>Market and Associated Impact on Retail Rates</w:t>
        <w:tab/>
        <w:t>)</w:t>
        <w:tab/>
        <w:tab/>
        <w:t>Issued August 3, 2000</w:t>
      </w:r>
    </w:p>
    <w:p>
      <w:pPr>
        <w:pStyle w:val="Normal"/>
        <w:ind w:end="-1440"/>
        <w:jc w:val="both"/>
        <w:rPr>
          <w:sz w:val="20"/>
          <w:szCs w:val="20"/>
        </w:rPr>
      </w:pPr>
      <w:r>
        <w:rPr>
          <w:sz w:val="20"/>
          <w:szCs w:val="20"/>
        </w:rPr>
        <w:t>__________________________________________________ )</w:t>
      </w:r>
    </w:p>
    <w:p>
      <w:pPr>
        <w:pStyle w:val="Normal"/>
        <w:jc w:val="center"/>
        <w:rPr>
          <w:sz w:val="20"/>
          <w:szCs w:val="20"/>
        </w:rPr>
      </w:pPr>
      <w:r>
        <w:rPr>
          <w:sz w:val="20"/>
          <w:szCs w:val="20"/>
        </w:rPr>
        <w:tab/>
        <w:tab/>
        <w:tab/>
        <w:tab/>
        <w:tab/>
        <w:tab/>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sz w:val="20"/>
          <w:szCs w:val="20"/>
        </w:rPr>
      </w:pPr>
      <w:r>
        <w:rPr>
          <w:sz w:val="20"/>
          <w:szCs w:val="20"/>
        </w:rPr>
      </w:r>
    </w:p>
    <w:p>
      <w:pPr>
        <w:pStyle w:val="Normal"/>
        <w:jc w:val="center"/>
        <w:rPr>
          <w:b/>
          <w:bCs/>
          <w:sz w:val="20"/>
          <w:szCs w:val="20"/>
        </w:rPr>
      </w:pPr>
      <w:r>
        <w:rPr>
          <w:b/>
          <w:bCs/>
          <w:sz w:val="20"/>
          <w:szCs w:val="20"/>
        </w:rPr>
      </w:r>
    </w:p>
    <w:p>
      <w:pPr>
        <w:pStyle w:val="Normal"/>
        <w:jc w:val="center"/>
        <w:rPr>
          <w:b/>
          <w:bCs/>
        </w:rPr>
      </w:pPr>
      <w:r>
        <w:rPr>
          <w:b/>
          <w:bCs/>
        </w:rPr>
        <w:t>PREHEARING CONFERENCE STATEMENT OF ENRON CORPORATION</w:t>
      </w:r>
    </w:p>
    <w:p>
      <w:pPr>
        <w:pStyle w:val="Normal"/>
        <w:jc w:val="center"/>
        <w:rPr>
          <w:b/>
          <w:bCs/>
        </w:rPr>
      </w:pPr>
      <w:r>
        <w:rPr>
          <w:b/>
          <w:bCs/>
        </w:rPr>
      </w:r>
    </w:p>
    <w:p>
      <w:pPr>
        <w:pStyle w:val="Normal"/>
        <w:tabs>
          <w:tab w:val="clear" w:pos="720"/>
          <w:tab w:val="left" w:pos="-1440" w:leader="none"/>
          <w:tab w:val="left" w:pos="-720" w:leader="none"/>
          <w:tab w:val="left" w:pos="36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lineRule="auto" w:line="480"/>
        <w:ind w:firstLine="720" w:end="0"/>
        <w:jc w:val="both"/>
        <w:rPr>
          <w:b/>
          <w:bCs/>
        </w:rPr>
      </w:pPr>
      <w:r>
        <w:rPr>
          <w:b/>
          <w:bCs/>
        </w:rPr>
      </w:r>
    </w:p>
    <w:p>
      <w:pPr>
        <w:pStyle w:val="Normal"/>
        <w:tabs>
          <w:tab w:val="clear" w:pos="720"/>
          <w:tab w:val="left" w:pos="-720" w:leader="none"/>
        </w:tabs>
        <w:suppressAutoHyphens w:val="true"/>
        <w:spacing w:lineRule="auto" w:line="480"/>
        <w:ind w:firstLine="720" w:end="0"/>
        <w:jc w:val="both"/>
        <w:rPr>
          <w:color w:val="000000"/>
        </w:rPr>
      </w:pPr>
      <w:r>
        <w:rPr>
          <w:color w:val="000000"/>
        </w:rPr>
        <w:t xml:space="preserve"> </w:t>
      </w:r>
      <w:r>
        <w:rPr>
          <w:color w:val="000000"/>
        </w:rPr>
        <w:t>On August 3, 2000, the California Public Utilities Commission (“Commission”) issued its Order Instituting Investigation Into The Functioning Of The Wholesale Electric Market And Associated Impact On Retail Electric Rates In The Service Territory Of San Diego Gas &amp; Electric Company (“OII”).  The OII raises a number of important questions pertaining to the recent high wholesale energy prices which have seriously impacted the customers of San Diego Gas &amp; Electric Company (“SDG&amp;E”).  Enron intends to participate in this proceeding with regard to several, but not all, of these issues and therefore files this prehearing conference (“PHC”) statement which summarizes Enron’s position with regard to the scope and context within which these issues should be considered.</w:t>
      </w:r>
    </w:p>
    <w:p>
      <w:pPr>
        <w:pStyle w:val="Normal"/>
        <w:tabs>
          <w:tab w:val="clear" w:pos="720"/>
          <w:tab w:val="left" w:pos="-720" w:leader="none"/>
        </w:tabs>
        <w:suppressAutoHyphens w:val="true"/>
        <w:spacing w:lineRule="auto" w:line="480"/>
        <w:ind w:firstLine="720" w:end="0"/>
        <w:jc w:val="both"/>
        <w:rPr>
          <w:color w:val="000000"/>
        </w:rPr>
      </w:pPr>
      <w:r>
        <w:rPr>
          <w:color w:val="000000"/>
        </w:rPr>
        <w:t xml:space="preserve">As a preliminary comment, Enron notes that the OII directs that not only SDG&amp;E, but also Southern California Edison Company (“SCE”) and Pacific Gas and Electric Company (“PG&amp;E”) are made respondents to this proceeding and directed to file PHC statements which provide preliminary responses to the OII issues.  Enron believes that SCE and PG&amp;E can add value to these deliberations with regard to issues pertaining to recent occurrences in the wholesale market, as they are active participants in that market.  However, Enron does not believe that this OII should be expanded to explore bill payment, rate design, default provider and other issues which pertain to SCE and PG&amp;E.  Those issues should instead be considered specifically in the context of SDG&amp;E.  </w:t>
      </w:r>
    </w:p>
    <w:p>
      <w:pPr>
        <w:pStyle w:val="Normal"/>
        <w:tabs>
          <w:tab w:val="clear" w:pos="720"/>
          <w:tab w:val="left" w:pos="-720" w:leader="none"/>
        </w:tabs>
        <w:suppressAutoHyphens w:val="true"/>
        <w:spacing w:lineRule="auto" w:line="480"/>
        <w:ind w:firstLine="720" w:end="0"/>
        <w:jc w:val="both"/>
        <w:rPr>
          <w:color w:val="000000"/>
        </w:rPr>
      </w:pPr>
      <w:r>
        <w:rPr>
          <w:color w:val="000000"/>
        </w:rPr>
        <w:t>This OII was generated due to the special circumstances which exist with regard to SDG&amp;E customers because of the fact that utility had completed collection of its stranded costs and ended its rate freeze.  Expanding the scope of the OII to investigate all of these issues on a statewide basis would be inefficient and unproductive.  First, SCE and PG&amp;E are in a different situation due to their continued rate freezes and many of the issues which are ripe for immediate attention and actio0n for SDG&amp;E are not yet ripe for similar discussion for the other two utilities.  Even more importantly, consideration of the many OII issues on a statewide basis will unacceptably lengthen this proceeding.  At the Commission meeting of August 3, where this OII was voted out by a unanimous Commission, much was made of the need to act quickly to identify the issues which caused the recent SDG&amp;E price spikes and to direct assistance to SDG&amp;E customers.  Consideration of the OII’s many issues on a statewide basis, rather than a targeted basis directly at SDG&amp;E, will not facilitate the type of prompt response which all parties feel is vital.</w:t>
      </w:r>
    </w:p>
    <w:p>
      <w:pPr>
        <w:pStyle w:val="Normal"/>
        <w:tabs>
          <w:tab w:val="clear" w:pos="720"/>
          <w:tab w:val="left" w:pos="-720" w:leader="none"/>
        </w:tabs>
        <w:suppressAutoHyphens w:val="true"/>
        <w:spacing w:lineRule="auto" w:line="480"/>
        <w:ind w:firstLine="720" w:end="0"/>
        <w:jc w:val="both"/>
        <w:rPr>
          <w:color w:val="000000"/>
        </w:rPr>
      </w:pPr>
      <w:r>
        <w:rPr>
          <w:color w:val="000000"/>
        </w:rPr>
        <w:t>Enron therefore offers the following comments on certain of the OII issues in a SDG&amp;E-only context:</w:t>
      </w:r>
    </w:p>
    <w:p>
      <w:pPr>
        <w:pStyle w:val="Normal"/>
        <w:rPr>
          <w:color w:val="000000"/>
        </w:rPr>
      </w:pPr>
      <w:r>
        <w:rPr>
          <w:color w:val="000000"/>
        </w:rPr>
      </w:r>
    </w:p>
    <w:p>
      <w:pPr>
        <w:pStyle w:val="Heading2"/>
        <w:tabs>
          <w:tab w:val="clear" w:pos="720"/>
          <w:tab w:val="left" w:pos="360" w:leader="none"/>
        </w:tabs>
        <w:ind w:hanging="360" w:start="360" w:end="0"/>
        <w:rPr>
          <w:u w:val="single"/>
        </w:rPr>
      </w:pPr>
      <w:r>
        <w:rPr>
          <w:u w:val="single"/>
        </w:rPr>
        <w:t>Rate Design and Tariff Options to Schedule PX</w:t>
      </w:r>
    </w:p>
    <w:p>
      <w:pPr>
        <w:pStyle w:val="Normal"/>
        <w:rPr/>
      </w:pPr>
      <w:r>
        <w:rPr/>
      </w:r>
    </w:p>
    <w:p>
      <w:pPr>
        <w:pStyle w:val="Normal"/>
        <w:spacing w:lineRule="auto" w:line="480"/>
        <w:ind w:firstLine="720" w:end="0"/>
        <w:jc w:val="both"/>
        <w:rPr/>
      </w:pPr>
      <w:r>
        <w:rPr/>
        <w:t>Section b. of the OII asks, “What rate design and tariff options should be considered to assist retail customers in managing the whoesale rate component in their retail bills?”  Enron suggests that the OII should focus primarily on rate design issues which impact residential and small and medium commercial customers with a load of 20 kW and below.  Large commercial and industrial customers have greater access to creative pricing and futures mechanisms which can provide protection from unexpected pricing fluctuations, whereas residential and small commercial customers are currently less likely to avail themselves of such opportunities.  As a result, larger customers do not need (and in most cases, do not desire) the same protections as do smaller customers.  For example, Enron suggests that a residential levelized method should not be imposed on larger customers.</w:t>
      </w:r>
    </w:p>
    <w:p>
      <w:pPr>
        <w:pStyle w:val="Normal"/>
        <w:spacing w:lineRule="auto" w:line="480"/>
        <w:ind w:firstLine="720" w:end="0"/>
        <w:jc w:val="both"/>
        <w:rPr/>
      </w:pPr>
      <w:r>
        <w:rPr/>
        <w:t>Enron will propose the following rate design treatment for the commercial and industrial customers:</w:t>
      </w:r>
    </w:p>
    <w:p>
      <w:pPr>
        <w:pStyle w:val="Normal"/>
        <w:numPr>
          <w:ilvl w:val="0"/>
          <w:numId w:val="2"/>
        </w:numPr>
        <w:tabs>
          <w:tab w:val="clear" w:pos="720"/>
          <w:tab w:val="left" w:pos="0" w:leader="none"/>
        </w:tabs>
        <w:spacing w:lineRule="auto" w:line="480"/>
        <w:ind w:hanging="720" w:start="1440" w:end="0"/>
        <w:jc w:val="both"/>
        <w:rPr/>
      </w:pPr>
      <w:r>
        <w:rPr/>
        <w:t>Small commercial and medium commercial (20 kW up to 50 kW) bundled customers should be subject to a Schedule PX which varies on a monthly basis. Those customers in this group who desire fixed-price commodity contracts should be required to obtain them from the market through the election of direct access.</w:t>
      </w:r>
    </w:p>
    <w:p>
      <w:pPr>
        <w:pStyle w:val="Normal"/>
        <w:numPr>
          <w:ilvl w:val="0"/>
          <w:numId w:val="2"/>
        </w:numPr>
        <w:tabs>
          <w:tab w:val="clear" w:pos="720"/>
          <w:tab w:val="left" w:pos="0" w:leader="none"/>
        </w:tabs>
        <w:spacing w:lineRule="auto" w:line="480"/>
        <w:ind w:hanging="360" w:start="1440" w:end="0"/>
        <w:jc w:val="both"/>
        <w:rPr/>
      </w:pPr>
      <w:r>
        <w:rPr/>
        <w:t xml:space="preserve">Large commercial and industrial (above 50 kW) bundled customers should also be subject to a Schedule PX which varies on a monthly basis; provided, however, that those customers with real time meters should be subject to a Schedule PX pricing mechanism which varies on an hourly basis.  The market will provide for fixed price commodity contracts for those customers who wish to avail themselves of less volatile pricing mechanisms. </w:t>
      </w:r>
      <w:r>
        <w:rPr>
          <w:b/>
          <w:bCs/>
        </w:rPr>
        <w:t>[Do we want to advocate that bundled customers in this group should only be subject to hourly PX prices, as they are when they go DA, or is a monthly PX variability sufficient?]</w:t>
      </w:r>
    </w:p>
    <w:p>
      <w:pPr>
        <w:pStyle w:val="Normal"/>
        <w:spacing w:lineRule="auto" w:line="480"/>
        <w:rPr/>
      </w:pPr>
      <w:r>
        <w:rPr/>
      </w:r>
    </w:p>
    <w:p>
      <w:pPr>
        <w:pStyle w:val="Normal"/>
        <w:spacing w:lineRule="auto" w:line="480"/>
        <w:ind w:firstLine="720" w:end="0"/>
        <w:jc w:val="both"/>
        <w:rPr/>
      </w:pPr>
      <w:r>
        <w:rPr/>
        <w:t xml:space="preserve">Enron does not advocate that Schedule PX should be based on some average other than monthly, such as quarterly or annual or forecast averages.  A recurrent theme and goal of electric restructuring has been to provide customers with exposure to actual prices, so that they may react accordingly in terms of their electricity use and their decisions as to supply options.  A transition to longer average periods would undercut that goal and frustrate the ability of customers to react appropriately to the price signals in the market.  </w:t>
      </w:r>
    </w:p>
    <w:p>
      <w:pPr>
        <w:pStyle w:val="Normal"/>
        <w:spacing w:lineRule="auto" w:line="480"/>
        <w:ind w:firstLine="720" w:end="0"/>
        <w:jc w:val="both"/>
        <w:rPr/>
      </w:pPr>
      <w:r>
        <w:rPr/>
        <w:t xml:space="preserve">There have been a number of recent developments, such as the introduction of several new markets within the California Power Exchange (“CalPX”) and the long-term bilateral purchases which have just been authorized for SCE and PG&amp;E, which have compromised price transparency.  However, price transparency is still an important goal, as noted by SDG&amp;E when it filed its Advice Letter 1234-E.  That advice letter proposed to permit the utility to participate in various of the Block-Forward Markets of the CalPX.  SDG&amp;E took care to ensure that the direct access market would not be undermined by a lack of transparency in the PX Credit through its offer publish on its website, by no later than 5 p.m. each business day, information about its prior day BFM transactions.  The Commission has approved that Advice Letter unanimously </w:t>
      </w:r>
      <w:r>
        <w:rPr>
          <w:b/>
          <w:bCs/>
        </w:rPr>
        <w:t>[this was voted out on 8/3 wasn’t it?]</w:t>
      </w:r>
      <w:r>
        <w:rPr/>
        <w:t>.  It should not now undercut that approval by moving to a Schedule PX which based on longer period averages which would harm price transparency and the ability of customers to react to changing prices.</w:t>
      </w:r>
    </w:p>
    <w:p>
      <w:pPr>
        <w:pStyle w:val="Normal"/>
        <w:spacing w:lineRule="auto" w:line="480"/>
        <w:ind w:firstLine="720" w:end="0"/>
        <w:jc w:val="both"/>
        <w:rPr/>
      </w:pPr>
      <w:r>
        <w:rPr/>
        <w:t xml:space="preserve"> </w:t>
      </w:r>
      <w:r>
        <w:rPr/>
        <w:t>Enron also suggests that SDG&amp;E should not adjust its on-going Competition Transition Charge (“CTC”) charge level based upon projections of market prices as opposed to annualized projections.  A fixed CTC which is adjusted annually is preferable, even with the risk of an associated overcollection later.  A variable CTC would be problematical because…..</w:t>
      </w:r>
      <w:r>
        <w:rPr>
          <w:b/>
          <w:bCs/>
        </w:rPr>
        <w:t>[need some arguments here.  In the previous paragraph, we have stated that prices should not be forecast over a longer period.  However, we do advocate an annual fixed CTC forecast.  We need to clarify the reason for this distinction and what are the problems associated with a variable CTC.]</w:t>
      </w:r>
    </w:p>
    <w:p>
      <w:pPr>
        <w:pStyle w:val="BodyTextIndent2"/>
        <w:spacing w:lineRule="auto" w:line="480"/>
        <w:rPr/>
      </w:pPr>
      <w:r>
        <w:rPr/>
      </w:r>
    </w:p>
    <w:p>
      <w:pPr>
        <w:pStyle w:val="BodyTextIndent2"/>
        <w:spacing w:lineRule="auto" w:line="480"/>
        <w:rPr>
          <w:b/>
          <w:bCs/>
          <w:u w:val="single"/>
        </w:rPr>
      </w:pPr>
      <w:r>
        <w:rPr>
          <w:b/>
          <w:bCs/>
          <w:u w:val="single"/>
        </w:rPr>
        <w:t>Participation in Alternate Exchanges</w:t>
      </w:r>
    </w:p>
    <w:p>
      <w:pPr>
        <w:pStyle w:val="BodyText2"/>
        <w:spacing w:lineRule="auto" w:line="480"/>
        <w:ind w:firstLine="720" w:start="0" w:end="0"/>
        <w:jc w:val="both"/>
        <w:rPr/>
      </w:pPr>
      <w:r>
        <w:rPr/>
        <w:t>Section c. of the OII asks whether SDG&amp;E should be authorized to participate in bilateral contracts or other supply procurement activities, in addition to purchases through the various CalPX markets.  Enron notes that the Commission has already authorized SCE and PG&amp;E to participate in bilateral transactions outside of the CalPX, subject to existing limitations on their respective BFM transactions.  Enron sees no reason why SDG&amp;E should be denied the right to act similarly, particularly since its customers are actually subject to current price fluctuations, whereas those of SCE and PG&amp;E are not, due to the continuance of the price freezes in their service territories.</w:t>
      </w:r>
    </w:p>
    <w:p>
      <w:pPr>
        <w:pStyle w:val="BodyText2"/>
        <w:spacing w:lineRule="auto" w:line="480"/>
        <w:ind w:firstLine="720" w:start="0" w:end="0"/>
        <w:jc w:val="both"/>
        <w:rPr/>
      </w:pPr>
      <w:r>
        <w:rPr/>
        <w:t>Enron also suggests that SDG&amp;E should be permitted to participate in other qualified exchanges as soon as the current statutory ban on such activities has lapsed.  As noted in footnote 2 of the OII, Section 355.1 of the California Public Utilities Code permits the Commission to investigate issues associated with multiple qualified exchanges and to make recommendations to the Commission on or before June 1, 2000.  Enron would endorse a recommendation by the Commission to permit SDG&amp;E to participate in other qualified exchanges and that this proceeding should also include an analysis of what attributes should define an alternate qualified exchange.</w:t>
      </w:r>
    </w:p>
    <w:p>
      <w:pPr>
        <w:pStyle w:val="BodyText2"/>
        <w:spacing w:lineRule="auto" w:line="480"/>
        <w:ind w:firstLine="720" w:start="0" w:end="0"/>
        <w:jc w:val="both"/>
        <w:rPr/>
      </w:pPr>
      <w:r>
        <w:rPr/>
        <w:t xml:space="preserve">Enron also believes that it is important to recall that a primary reason that the Commission initially required mandatory purchases from the CalPX was to provide the publication of a single, transparent market price which could be used by customers and the new market participants as a marker for direct access transactions.  This was designed to facilitate the movement to direct access and enhanced competition during the anticipated four-year transition period.  It is arguable that the Commission never contemplated development of various markets within the CalPX during the transition period.  Nevertheless, CalPX chose to develop those markets, which have tended to compromise the original price transparency goal of the Commission.  Enron therefore sees no reason to continue to protect the CalPX from competition that could theoretically provide better services for lower costs.  There is no assurance that an alternate exchange could offer prices lower than those achieved by the CalPX.  However, the essence, and the beauty, of competition is that it causes competitors to work harder, think more creatively and offer increasingly better products to the marketplace.  Just as a move to direct access competition in the </w:t>
      </w:r>
      <w:r>
        <w:rPr>
          <w:u w:val="single"/>
        </w:rPr>
        <w:t>retail</w:t>
      </w:r>
      <w:r>
        <w:rPr/>
        <w:t xml:space="preserve"> electric market will ultimately offer those benefits to all ratepayers, Enron believes that a move to competition among multiple exchanges in the </w:t>
      </w:r>
      <w:r>
        <w:rPr>
          <w:u w:val="single"/>
        </w:rPr>
        <w:t>wholesale</w:t>
      </w:r>
      <w:r>
        <w:rPr/>
        <w:t xml:space="preserve"> electric market will also hold the promise of increased benefits for consumers.</w:t>
      </w:r>
    </w:p>
    <w:p>
      <w:pPr>
        <w:pStyle w:val="BodyText2"/>
        <w:spacing w:lineRule="auto" w:line="480"/>
        <w:ind w:firstLine="720" w:start="0" w:end="0"/>
        <w:jc w:val="both"/>
        <w:rPr/>
      </w:pPr>
      <w:r>
        <w:rPr/>
      </w:r>
    </w:p>
    <w:p>
      <w:pPr>
        <w:pStyle w:val="BodyText2"/>
        <w:spacing w:lineRule="auto" w:line="480"/>
        <w:ind w:start="0" w:end="0"/>
        <w:jc w:val="both"/>
        <w:rPr>
          <w:b/>
          <w:bCs/>
          <w:u w:val="single"/>
        </w:rPr>
      </w:pPr>
      <w:r>
        <w:rPr>
          <w:b/>
          <w:bCs/>
          <w:u w:val="single"/>
        </w:rPr>
        <w:t>How Should the Reasonableness of Such Transactions be Assessed?</w:t>
      </w:r>
    </w:p>
    <w:p>
      <w:pPr>
        <w:pStyle w:val="BodyText2"/>
        <w:spacing w:lineRule="auto" w:line="480"/>
        <w:ind w:firstLine="720" w:start="0" w:end="0"/>
        <w:jc w:val="both"/>
        <w:rPr/>
      </w:pPr>
      <w:r>
        <w:rPr/>
        <w:t xml:space="preserve">The OII next inquires as to how the Commission should assess the reasonableness of such procurement activities?  Enron notes that purchases through the CalPX have been deemed </w:t>
      </w:r>
      <w:r>
        <w:rPr>
          <w:i/>
          <w:iCs/>
        </w:rPr>
        <w:t>per se</w:t>
      </w:r>
      <w:r>
        <w:rPr/>
        <w:t xml:space="preserve"> reasonable to date.  However, providing a utility with the ability to enter into bilateral agreements introduces a new reasonableness question.  In its recent adoption of bilateral purchasing options for SCE and PG&amp;E, the Commission has already provided that there will be a limited review prior to approving contracts.  However, the otherwise available CalPX price is still to be the benchmark for reasonable behavior.  This provides the utility protection from after-the-fact reasonableness.</w:t>
      </w:r>
    </w:p>
    <w:p>
      <w:pPr>
        <w:pStyle w:val="BodyText2"/>
        <w:spacing w:lineRule="auto" w:line="480"/>
        <w:ind w:firstLine="720" w:start="0" w:end="0"/>
        <w:jc w:val="both"/>
        <w:rPr/>
      </w:pPr>
      <w:r>
        <w:rPr/>
        <w:t xml:space="preserve">As the Commission expands utility purchasing options, it needs to establish exogenous price points as benchmarks for reasonable behavior, other than merely the CalPX.  There are two good reasons for this.  First, there is the potential that the CalPX may lose liquidity if other alternate qualified exchanges are successful.  Second, there is also the potential that the CalPX is so heavily influenced by UDC behavior that it does not represent a true market price.  Therefore, a goal of the OII should be to determine what would be an appropriate benchmark for SDG&amp;E’s purchasing activities, as the CalPX price does not appear to represent a suitable indicator.  </w:t>
      </w:r>
    </w:p>
    <w:p>
      <w:pPr>
        <w:pStyle w:val="BodyText2"/>
        <w:spacing w:lineRule="auto" w:line="480"/>
        <w:ind w:firstLine="720" w:start="0" w:end="0"/>
        <w:jc w:val="both"/>
        <w:rPr/>
      </w:pPr>
      <w:r>
        <w:rPr/>
        <w:t xml:space="preserve">Enron also opposes any form of sharing risk/reward with ratepayers, such as the procurement Performance Based Ratemaking (“PBR”) mechanism which was recently proposed by SDG&amp;E in phase II of the Post-Transition Ratemaking proceeding.  Such a mechanism would further entrench the role of the utility as energy provider.  As noted by the Commission at page 33 of D.00-06-034, “Although a PBR model may provide incentives for the UDC to reduce procurement costs, we are not yet convinced that it avoids perverse incentives or properly aligns the UDCs’ interests with customers’ interests.”  Enron notes that the new market participants are there to provide for competitive energy services and that it would not be appropriate to provide SDG&amp;E with further incentives to retain their existing customers. </w:t>
      </w:r>
    </w:p>
    <w:p>
      <w:pPr>
        <w:pStyle w:val="BodyTextIndent2"/>
        <w:rPr/>
      </w:pPr>
      <w:r>
        <w:rPr/>
      </w:r>
    </w:p>
    <w:p>
      <w:pPr>
        <w:pStyle w:val="Heading2"/>
        <w:tabs>
          <w:tab w:val="clear" w:pos="720"/>
          <w:tab w:val="left" w:pos="360" w:leader="none"/>
        </w:tabs>
        <w:ind w:hanging="360" w:start="360" w:end="0"/>
        <w:rPr>
          <w:u w:val="single"/>
        </w:rPr>
      </w:pPr>
      <w:r>
        <w:rPr>
          <w:u w:val="single"/>
        </w:rPr>
        <w:t>The Role of SDG&amp;E as an Aggregator of Supply</w:t>
      </w:r>
    </w:p>
    <w:p>
      <w:pPr>
        <w:pStyle w:val="Normal"/>
        <w:rPr>
          <w:u w:val="single"/>
        </w:rPr>
      </w:pPr>
      <w:r>
        <w:rPr>
          <w:u w:val="single"/>
        </w:rPr>
      </w:r>
    </w:p>
    <w:p>
      <w:pPr>
        <w:pStyle w:val="Heading4"/>
        <w:spacing w:lineRule="auto" w:line="480"/>
        <w:ind w:firstLine="720" w:start="0" w:end="0"/>
        <w:jc w:val="both"/>
        <w:rPr>
          <w:b w:val="false"/>
          <w:bCs w:val="false"/>
        </w:rPr>
      </w:pPr>
      <w:r>
        <w:rPr>
          <w:b w:val="false"/>
          <w:bCs w:val="false"/>
        </w:rPr>
        <w:t xml:space="preserve">Should SDG&amp;E be allowed to act as aggregator?  Yes, so long as the data relevant to the proposed aggregation is provided under equal terms and conditions to all market participants.  The aggregation of participating customers can be implemented immediately and Enron suggests that the Commission should authorize SDG&amp;E to move forward with such a proposal as soon as possible.  Rather than have such an aggregation proposal be dependent upon a final decision in this proceeding, however, Enron encourages SDG&amp;E to file an advice letter with its proposal for such an aggregation program.  Through the Commission’s normal procedures, parties will have the opportunity to comment, to support or to oppose the utility’s proposal.  We should not make the utility wait until the end of this proceeding to be able to move forward with an aggregation proposal.   </w:t>
      </w:r>
    </w:p>
    <w:p>
      <w:pPr>
        <w:pStyle w:val="Heading4"/>
        <w:spacing w:lineRule="auto" w:line="480"/>
        <w:ind w:firstLine="720" w:start="0" w:end="0"/>
        <w:jc w:val="both"/>
        <w:rPr>
          <w:b w:val="false"/>
          <w:bCs w:val="false"/>
        </w:rPr>
      </w:pPr>
      <w:r>
        <w:rPr>
          <w:b w:val="false"/>
          <w:bCs w:val="false"/>
        </w:rPr>
        <w:t>Enron also suggests that the role of SDG&amp;E as an aggregator should be defined in the advice letter such that the utility is a non-profit participant who provides a facilitating role.  This should not be structured as a profit-making opportunity for the utility, as that would engender a discussion of a broad variety of other issues which would delay the approval and implementation of an aggregation program.  Enron also surmises that SDG&amp;E will propose some form of competitive bid situation whereby ESPs will compete on a lowest price basis for the aggregated load which the utility has compiled.  It is important that customers participating in the aggregation program should be fully aware that they are commodity customers of the ESP that has won the bid, rather than continuing to be considered to be bundled customers. As noted above in the quotation from D.00-06-034, the Commission wants to avoid any “perverse incentives” for the utility to engage in customer retention activities.  Enron is confident that the aggregation program proposed by the utility will not constitute a “stealth customer retention” program.  Finally, it would also be advisable for the SDG&amp;E advice letter to address how such aggregation would comport with existing consumer protection rules.</w:t>
      </w:r>
    </w:p>
    <w:p>
      <w:pPr>
        <w:pStyle w:val="BodyText2"/>
        <w:rPr>
          <w:b/>
          <w:bCs/>
        </w:rPr>
      </w:pPr>
      <w:r>
        <w:rPr>
          <w:b/>
          <w:bCs/>
        </w:rPr>
      </w:r>
    </w:p>
    <w:p>
      <w:pPr>
        <w:pStyle w:val="Heading2"/>
        <w:tabs>
          <w:tab w:val="clear" w:pos="720"/>
          <w:tab w:val="left" w:pos="360" w:leader="none"/>
        </w:tabs>
        <w:ind w:hanging="360" w:start="360" w:end="0"/>
        <w:rPr>
          <w:u w:val="single"/>
        </w:rPr>
      </w:pPr>
      <w:r>
        <w:rPr>
          <w:u w:val="single"/>
        </w:rPr>
        <w:t>Investigation into Market Behavior</w:t>
      </w:r>
    </w:p>
    <w:p>
      <w:pPr>
        <w:pStyle w:val="Heading2"/>
        <w:tabs>
          <w:tab w:val="clear" w:pos="720"/>
          <w:tab w:val="left" w:pos="360" w:leader="none"/>
        </w:tabs>
        <w:ind w:hanging="360" w:start="360" w:end="0"/>
        <w:rPr/>
      </w:pPr>
      <w:r>
        <w:rPr/>
      </w:r>
    </w:p>
    <w:p>
      <w:pPr>
        <w:pStyle w:val="Heading2"/>
        <w:tabs>
          <w:tab w:val="clear" w:pos="720"/>
          <w:tab w:val="left" w:pos="360" w:leader="none"/>
        </w:tabs>
        <w:spacing w:lineRule="auto" w:line="480"/>
        <w:ind w:firstLine="720" w:start="0" w:end="0"/>
        <w:jc w:val="both"/>
        <w:rPr/>
      </w:pPr>
      <w:r>
        <w:rPr>
          <w:b w:val="false"/>
          <w:bCs w:val="false"/>
        </w:rPr>
        <w:t xml:space="preserve">Section f. of the OII inquires as to how the Commission and other government entities should coordinate activities to investigate the recent price increases in the wholesale markets.  Enron recommends that there should be a holistic approach, which looks at </w:t>
      </w:r>
      <w:r>
        <w:rPr>
          <w:b w:val="false"/>
          <w:bCs w:val="false"/>
          <w:u w:val="single"/>
        </w:rPr>
        <w:t>all</w:t>
      </w:r>
      <w:r>
        <w:rPr>
          <w:b w:val="false"/>
          <w:bCs w:val="false"/>
        </w:rPr>
        <w:t xml:space="preserve"> aspects of the market, including the behavior of ISO/CalPX/UDCs/Generators, and does not isolate certain market participants.  The investigation should focus on whether there have been any tariff violations</w:t>
      </w:r>
      <w:r>
        <w:rPr/>
        <w:t xml:space="preserve"> </w:t>
      </w:r>
      <w:r>
        <w:rPr>
          <w:b w:val="false"/>
          <w:bCs w:val="false"/>
        </w:rPr>
        <w:t xml:space="preserve">or laws broken.  These are proper considerations for the ISO, the CalPX, the Oversight Board and the Attorney General.  </w:t>
      </w:r>
    </w:p>
    <w:p>
      <w:pPr>
        <w:pStyle w:val="Heading2"/>
        <w:tabs>
          <w:tab w:val="clear" w:pos="720"/>
          <w:tab w:val="left" w:pos="360" w:leader="none"/>
        </w:tabs>
        <w:spacing w:lineRule="auto" w:line="480"/>
        <w:ind w:firstLine="720" w:start="0" w:end="0"/>
        <w:jc w:val="both"/>
        <w:rPr/>
      </w:pPr>
      <w:r>
        <w:rPr>
          <w:b w:val="false"/>
          <w:bCs w:val="false"/>
        </w:rPr>
        <w:t xml:space="preserve">However, the investigation should </w:t>
      </w:r>
      <w:r>
        <w:rPr>
          <w:b w:val="false"/>
          <w:bCs w:val="false"/>
          <w:u w:val="single"/>
        </w:rPr>
        <w:t>not</w:t>
      </w:r>
      <w:r>
        <w:rPr>
          <w:b w:val="false"/>
          <w:bCs w:val="false"/>
        </w:rPr>
        <w:t xml:space="preserve"> be an evaluation as to whether or not the market structure as adopted by the Commission is appropriate or correct.  The entities named above do not have the legal or constitutional charter for evaluating or determining what should be the appropriate structure for the California market.  Each plays an important, but more limited, role than does this Commission.  Enron cautions the Commission that it should not take a slippery step in the direction of surrendering its primary responsibility and jurisdiction with regard to the activities of California investor-owed utilities and the structure of the direct access market.  </w:t>
      </w:r>
    </w:p>
    <w:p>
      <w:pPr>
        <w:pStyle w:val="Heading2"/>
        <w:tabs>
          <w:tab w:val="clear" w:pos="720"/>
          <w:tab w:val="left" w:pos="360" w:leader="none"/>
        </w:tabs>
        <w:spacing w:lineRule="auto" w:line="480"/>
        <w:ind w:firstLine="720" w:start="0" w:end="0"/>
        <w:jc w:val="both"/>
        <w:rPr>
          <w:b w:val="false"/>
          <w:bCs w:val="false"/>
        </w:rPr>
      </w:pPr>
      <w:r>
        <w:rPr>
          <w:b w:val="false"/>
          <w:bCs w:val="false"/>
        </w:rPr>
        <w:t>That structure has been erected over the past six years through the combined efforts of many different market participants, including such disparate intervenor parties as consumer groups, ESPs, industrial customers, agricultural interests, government consumers, scheduling coordinators, generators, etc.  Moreover, the Commission’s own staff and the Office of Ratepayer Advocates has done invaluable work over that period to facilitate the continuing work of structuring a competitive market for California’s electricity consumers.  The combined efforts of all these parties has led to a marketplace which represents the input of many different interests.  The Commission should not permit the more narrow interests of the ISO, CalPX, EOB and the Attorney General to encroach on the primary charter of the California Public Utilities Commission.  To do so would set an unwise precedent which would jeopardize the Commission’s own independence, as well as raise serious questions of denial of due process for the many intervenor parties named above.</w:t>
      </w:r>
    </w:p>
    <w:p>
      <w:pPr>
        <w:pStyle w:val="Heading2"/>
        <w:tabs>
          <w:tab w:val="clear" w:pos="720"/>
          <w:tab w:val="left" w:pos="360" w:leader="none"/>
        </w:tabs>
        <w:spacing w:lineRule="auto" w:line="480"/>
        <w:ind w:firstLine="720" w:start="0" w:end="0"/>
        <w:jc w:val="both"/>
        <w:rPr>
          <w:b w:val="false"/>
          <w:bCs w:val="false"/>
        </w:rPr>
      </w:pPr>
      <w:r>
        <w:rPr>
          <w:b w:val="false"/>
          <w:bCs w:val="false"/>
        </w:rPr>
        <w:t>Enron also advocates that, to the greatest extent possible, this should be an open investigation.  The many market participants who are active in California have valuable input and comments which should be considered by the investigators.  Moreover, the primary source material related to recent price increases should  be open to review and analysis by all parties.  Such a step would insure that the investigation is not shaped by a single perspective.  If the investigation considers only the input of those parties who have an “ax to grind” then its final conclusions will be less valuable and more suspect.  Conversely, letting all parties review and comment on these issues will lead to a more fair and defensible end product.  For example, the Commission should ask FERC to order the ISO and PX to make all data relative to the recent price spikes publicly available.  All parties could analyze this material and then have the opportunity to provide the conclusions and observations which result from their analyses.  The “competition of ideas and viewpoints” which result from this analysis will aid in the performance of an investigation which obtains accurate and effective results.</w:t>
      </w:r>
    </w:p>
    <w:p>
      <w:pPr>
        <w:pStyle w:val="Normal"/>
        <w:rPr/>
      </w:pPr>
      <w:r>
        <w:rPr/>
      </w:r>
    </w:p>
    <w:p>
      <w:pPr>
        <w:pStyle w:val="Heading2"/>
        <w:tabs>
          <w:tab w:val="clear" w:pos="720"/>
          <w:tab w:val="left" w:pos="360" w:leader="none"/>
        </w:tabs>
        <w:ind w:hanging="360" w:start="360" w:end="0"/>
        <w:rPr>
          <w:u w:val="single"/>
        </w:rPr>
      </w:pPr>
      <w:r>
        <w:rPr>
          <w:u w:val="single"/>
        </w:rPr>
        <w:t>What Are the Causes of the Price Increases?</w:t>
      </w:r>
    </w:p>
    <w:p>
      <w:pPr>
        <w:pStyle w:val="Heading5"/>
        <w:rPr/>
      </w:pPr>
      <w:r>
        <w:rPr/>
      </w:r>
    </w:p>
    <w:p>
      <w:pPr>
        <w:pStyle w:val="Normal"/>
        <w:tabs>
          <w:tab w:val="clear" w:pos="720"/>
          <w:tab w:val="left" w:pos="1080" w:leader="none"/>
        </w:tabs>
        <w:spacing w:lineRule="auto" w:line="480"/>
        <w:jc w:val="both"/>
        <w:rPr/>
      </w:pPr>
      <w:r>
        <w:rPr/>
        <w:t>Enron believes that the investigation will result in a simple conclusion.  The only cause of the recent price increases is an inadequate supply of electric generation to meet growing demand.  When dramatic events occur, it is all too human to look for equally dramatic causes and conspiracies.  Moreover, there can sometimes be political capital to be made from pointing fingers and charging parties with malfeasance or even illegalities.  However, the actual causes can often be quite mundane.  A plane can crash because a bird flies into a jet intake.  Gasoline prices in California can increase because refineries are unavailable at the same time that OPEC decides to decrease Mideast oil production.  And California electricity prices can increase when a shortage of supply, an untimely increase in demand and an unexpected increase in fuel prices coincide simultaneously.</w:t>
      </w:r>
    </w:p>
    <w:p>
      <w:pPr>
        <w:pStyle w:val="Normal"/>
        <w:tabs>
          <w:tab w:val="clear" w:pos="720"/>
          <w:tab w:val="left" w:pos="1080" w:leader="none"/>
        </w:tabs>
        <w:spacing w:lineRule="auto" w:line="480"/>
        <w:jc w:val="both"/>
        <w:rPr/>
      </w:pPr>
      <w:r>
        <w:rPr/>
        <w:t>On July 28, 2000, the Western Power Trading Forum, of which Enron is a member, filed its comments with regard to the proposals by SCE and PG&amp;E to purchase bilaterally outside of the PX.  In pages 9-10 of those comments, WPTF noted the following:</w:t>
      </w:r>
    </w:p>
    <w:p>
      <w:pPr>
        <w:pStyle w:val="Normal"/>
        <w:suppressAutoHyphens w:val="true"/>
        <w:ind w:firstLine="720" w:start="720" w:end="720"/>
        <w:jc w:val="both"/>
        <w:rPr/>
      </w:pPr>
      <w:r>
        <w:rPr/>
        <w:t xml:space="preserve">It is abundantly clear that the current market situation is due to a variety of factors which have combined to push prices on an upward spiral.  The shortage of available instate generation, the lack of new power plant construction within California and the reduced availability of Pacific Northwest hydropower have constrained supply.  A recent dramatic increase in natural gas prices has significantly increased operating expenses for generators.  Finally, unexpected late spring and early summer heat has increased demand.  This witches’ brew of inadequate supply, higher operating costs and increased demand has led inexorably to much higher than anticipated prices for wholesale electricity.  </w:t>
      </w:r>
    </w:p>
    <w:p>
      <w:pPr>
        <w:pStyle w:val="Normal"/>
        <w:suppressAutoHyphens w:val="true"/>
        <w:ind w:firstLine="720" w:start="720" w:end="720"/>
        <w:jc w:val="both"/>
        <w:rPr/>
      </w:pPr>
      <w:r>
        <w:rPr/>
        <w:t xml:space="preserve">This short-term phenomena has led to the Emergency Petitions of SCE and PG&amp;E.  Their proposals, however, have missed the fundamental fact that this is a short-term, rather than a long-term problem.  The return of units to service, the moderation of high demand which will occur after the summer has passed, the expected decline in natural gas prices and the construction of new generation will all cause wholesale electricity prices to moderate.  The diagnosis for a scraped knee is not customarily amputation.  Nor is a lung transplant the usual remedy for catching a cold.  Instead of proposing drastic solutions which upset the current market structure, it makes far more sense determine if a short-term remedy would be more efficient.  </w:t>
      </w:r>
    </w:p>
    <w:p>
      <w:pPr>
        <w:pStyle w:val="Normal"/>
        <w:tabs>
          <w:tab w:val="clear" w:pos="720"/>
          <w:tab w:val="left" w:pos="1080" w:leader="none"/>
        </w:tabs>
        <w:ind w:start="720" w:end="720"/>
        <w:jc w:val="both"/>
        <w:rPr/>
      </w:pPr>
      <w:r>
        <w:rPr/>
        <w:t xml:space="preserve">Inadequate generation supplies, reduced hydropower, high natural gas prices and higher than normal temperatures have at least one common beneficial attribute….they are </w:t>
      </w:r>
      <w:r>
        <w:rPr>
          <w:u w:val="single"/>
        </w:rPr>
        <w:t>temporary</w:t>
      </w:r>
      <w:r>
        <w:rPr/>
        <w:t xml:space="preserve"> phenomena.  All can be mitigated, through the construction of new generation, changes in Northwest production and sales strategies, reduction in OPEC and world oil prices and the simple passage of the calendar from summer to fall and hence to winter.  Therefore, it is appropriate to look for interim solutions that do not compromise or frustrate the move to competition which will ultimately benefit all the electricity customers of California.  WPTF notes that SDG&amp;E, unlike SCE and PG&amp;E, recognized this critical difference in its recent response to the UCAN Emergency Petition.  The Commission should not also fail to recognize this vital distinction.</w:t>
      </w:r>
    </w:p>
    <w:p>
      <w:pPr>
        <w:pStyle w:val="Normal"/>
        <w:tabs>
          <w:tab w:val="clear" w:pos="720"/>
          <w:tab w:val="left" w:pos="1080" w:leader="none"/>
        </w:tabs>
        <w:ind w:firstLine="720" w:end="0"/>
        <w:rPr/>
      </w:pPr>
      <w:r>
        <w:rPr/>
      </w:r>
    </w:p>
    <w:p>
      <w:pPr>
        <w:pStyle w:val="Normal"/>
        <w:tabs>
          <w:tab w:val="clear" w:pos="720"/>
          <w:tab w:val="left" w:pos="1080" w:leader="none"/>
        </w:tabs>
        <w:spacing w:lineRule="auto" w:line="480"/>
        <w:ind w:firstLine="720" w:end="0"/>
        <w:jc w:val="both"/>
        <w:rPr/>
      </w:pPr>
      <w:r>
        <w:rPr/>
        <w:t xml:space="preserve">Enron agrees with WPTF as to the cause of the recent price increases and believes that an impartial investigation will also concur.  Moreover, Enron notes that this is a west-wide problem not California specific.  An analysis of how west-wide prices have moved in comparison to California prices will demonstrate this fact.  Enron further believes that any mechanisms to “make ratepayers whole” will decrease investor confidence in an already shaky structure as generators/marketers will have no confidence that they will receive fair compensation for services rendered.  If new generators are dissuaded from entering the California market or existing plant owners are discouraged from modernizing and expanding their existing facilities, we will exacerbate, rather than solve, the root causes of our recent problems.  </w:t>
      </w:r>
    </w:p>
    <w:p>
      <w:pPr>
        <w:pStyle w:val="Normal"/>
        <w:tabs>
          <w:tab w:val="clear" w:pos="720"/>
          <w:tab w:val="left" w:pos="1080" w:leader="none"/>
        </w:tabs>
        <w:spacing w:lineRule="auto" w:line="480"/>
        <w:ind w:firstLine="720" w:end="0"/>
        <w:jc w:val="both"/>
        <w:rPr>
          <w:color w:val="000000"/>
        </w:rPr>
      </w:pPr>
      <w:r>
        <w:rPr/>
        <w:t>Enron looks forward to participating in this proceeding and commends the Commission for instituting it.  The OII should proceed on an expedited basis in order to reach efficient conclusions and rapid implementation of any new proposals which will further protect the interests of California’s electric ratepayers while not doing harm to the fledgling competitive market.</w:t>
      </w:r>
    </w:p>
    <w:p>
      <w:pPr>
        <w:pStyle w:val="Normal"/>
        <w:tabs>
          <w:tab w:val="clear" w:pos="720"/>
          <w:tab w:val="left" w:pos="-720" w:leader="none"/>
        </w:tabs>
        <w:suppressAutoHyphens w:val="true"/>
        <w:spacing w:lineRule="auto" w:line="480"/>
        <w:ind w:start="1509" w:end="0"/>
        <w:jc w:val="both"/>
        <w:rPr>
          <w:spacing w:val="-3"/>
        </w:rPr>
      </w:pPr>
      <w:r>
        <w:rPr>
          <w:spacing w:val="-3"/>
        </w:rPr>
        <w:tab/>
        <w:tab/>
        <w:tab/>
        <w:tab/>
        <w:t>Respectfully submitted,</w:t>
      </w:r>
    </w:p>
    <w:p>
      <w:pPr>
        <w:pStyle w:val="Normal"/>
        <w:tabs>
          <w:tab w:val="clear" w:pos="720"/>
          <w:tab w:val="left" w:pos="-720" w:leader="none"/>
        </w:tabs>
        <w:suppressAutoHyphens w:val="true"/>
        <w:jc w:val="both"/>
        <w:rPr>
          <w:spacing w:val="-3"/>
        </w:rPr>
      </w:pPr>
      <w:r>
        <w:rPr>
          <w:spacing w:val="-3"/>
        </w:rPr>
        <w:tab/>
        <w:tab/>
        <w:tab/>
        <w:tab/>
        <w:tab/>
        <w:tab/>
        <w:t>ARTER &amp; HADDEN LLP</w:t>
      </w:r>
    </w:p>
    <w:p>
      <w:pPr>
        <w:pStyle w:val="Normal"/>
        <w:tabs>
          <w:tab w:val="clear" w:pos="720"/>
          <w:tab w:val="left" w:pos="-720" w:leader="none"/>
        </w:tabs>
        <w:suppressAutoHyphens w:val="true"/>
        <w:jc w:val="both"/>
        <w:rPr>
          <w:spacing w:val="-3"/>
        </w:rPr>
      </w:pPr>
      <w:r>
        <w:rPr>
          <w:spacing w:val="-3"/>
        </w:rPr>
        <w:tab/>
        <w:tab/>
        <w:tab/>
        <w:tab/>
        <w:tab/>
        <w:tab/>
        <w:t>Daniel W. Douglass</w:t>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tabs>
          <w:tab w:val="clear" w:pos="720"/>
          <w:tab w:val="left" w:pos="-720" w:leader="none"/>
        </w:tabs>
        <w:suppressAutoHyphens w:val="true"/>
        <w:jc w:val="both"/>
        <w:rPr>
          <w:spacing w:val="-3"/>
        </w:rPr>
      </w:pPr>
      <w:r>
        <w:rPr>
          <w:spacing w:val="-3"/>
        </w:rPr>
      </w:r>
    </w:p>
    <w:p>
      <w:pPr>
        <w:pStyle w:val="Normal"/>
        <w:jc w:val="both"/>
        <w:rPr/>
      </w:pPr>
      <w:r>
        <w:rPr>
          <w:spacing w:val="-3"/>
        </w:rPr>
        <w:tab/>
        <w:tab/>
        <w:tab/>
        <w:tab/>
        <w:tab/>
        <w:tab/>
      </w:r>
      <w:r>
        <w:rPr/>
        <w:t>Arter &amp; Hadden LLP</w:t>
      </w:r>
    </w:p>
    <w:p>
      <w:pPr>
        <w:pStyle w:val="Normal"/>
        <w:jc w:val="both"/>
        <w:rPr/>
      </w:pPr>
      <w:r>
        <w:rPr/>
        <w:tab/>
        <w:tab/>
        <w:tab/>
        <w:tab/>
        <w:tab/>
        <w:tab/>
        <w:t>5959 Topanga Canyon Boulevard, Suite 244</w:t>
      </w:r>
    </w:p>
    <w:p>
      <w:pPr>
        <w:pStyle w:val="Normal"/>
        <w:jc w:val="both"/>
        <w:rPr/>
      </w:pPr>
      <w:r>
        <w:rPr/>
        <w:tab/>
        <w:tab/>
        <w:tab/>
        <w:tab/>
        <w:tab/>
        <w:tab/>
        <w:t>Woodland Hills, CA 91367</w:t>
      </w:r>
    </w:p>
    <w:p>
      <w:pPr>
        <w:pStyle w:val="Normal"/>
        <w:jc w:val="both"/>
        <w:rPr/>
      </w:pPr>
      <w:r>
        <w:rPr/>
        <w:tab/>
        <w:tab/>
        <w:tab/>
        <w:tab/>
        <w:tab/>
        <w:tab/>
        <w:t>Telephone: (818) 596-2201</w:t>
      </w:r>
    </w:p>
    <w:p>
      <w:pPr>
        <w:pStyle w:val="Normal"/>
        <w:jc w:val="both"/>
        <w:rPr/>
      </w:pPr>
      <w:r>
        <w:rPr/>
        <w:tab/>
        <w:tab/>
        <w:tab/>
        <w:tab/>
        <w:tab/>
        <w:tab/>
        <w:t>Facsimile: (818) 346-6502</w:t>
      </w:r>
    </w:p>
    <w:p>
      <w:pPr>
        <w:pStyle w:val="Normal"/>
        <w:jc w:val="both"/>
        <w:rPr/>
      </w:pPr>
      <w:r>
        <w:rPr/>
        <w:tab/>
        <w:tab/>
        <w:tab/>
        <w:tab/>
        <w:tab/>
        <w:tab/>
        <w:t>E-mail: douglass@arterhadden.com</w:t>
      </w:r>
    </w:p>
    <w:p>
      <w:pPr>
        <w:pStyle w:val="Normal"/>
        <w:jc w:val="both"/>
        <w:rPr/>
      </w:pPr>
      <w:r>
        <w:rPr/>
      </w:r>
    </w:p>
    <w:p>
      <w:pPr>
        <w:pStyle w:val="Normal"/>
        <w:jc w:val="both"/>
        <w:rPr/>
      </w:pPr>
      <w:r>
        <w:rPr/>
        <w:tab/>
        <w:tab/>
        <w:tab/>
        <w:tab/>
        <w:tab/>
        <w:tab/>
        <w:t>Counsel for the Alliance for Retail Markets</w:t>
      </w:r>
    </w:p>
    <w:p>
      <w:pPr>
        <w:pStyle w:val="Normal"/>
        <w:rPr/>
      </w:pPr>
      <w:r>
        <w:rPr/>
        <w:t>July 27, 2000</w:t>
      </w:r>
    </w:p>
    <w:p>
      <w:pPr>
        <w:sectPr>
          <w:footerReference w:type="default" r:id="rId4"/>
          <w:footerReference w:type="first" r:id="rId5"/>
          <w:type w:val="nextPage"/>
          <w:pgSz w:w="12240" w:h="15840"/>
          <w:pgMar w:left="1440" w:right="1440" w:gutter="0" w:header="0" w:top="1584" w:footer="576" w:bottom="1440"/>
          <w:pgNumType w:start="0" w:fmt="decimal"/>
          <w:formProt w:val="false"/>
          <w:titlePg/>
          <w:textDirection w:val="lrTb"/>
        </w:sectPr>
      </w:pPr>
    </w:p>
    <w:p>
      <w:pPr>
        <w:sectPr>
          <w:type w:val="continuous"/>
          <w:pgSz w:w="12240" w:h="15840"/>
          <w:pgMar w:left="1440" w:right="1440" w:gutter="0" w:header="0" w:top="1584" w:footer="576" w:bottom="1440"/>
          <w:formProt w:val="false"/>
          <w:titlePg/>
          <w:textDirection w:val="lrTb"/>
        </w:sectPr>
        <w:pStyle w:val="Normal"/>
        <w:numPr>
          <w:ilvl w:val="0"/>
          <w:numId w:val="0"/>
        </w:numPr>
        <w:tabs>
          <w:tab w:val="clear" w:pos="720"/>
          <w:tab w:val="left" w:pos="-1440" w:leader="none"/>
          <w:tab w:val="left" w:pos="-720" w:leader="none"/>
        </w:tabs>
        <w:jc w:val="center"/>
        <w:rPr>
          <w:b/>
          <w:bCs/>
        </w:rPr>
      </w:pPr>
      <w:r>
        <w:rPr>
          <w:b/>
          <w:bCs/>
        </w:rPr>
      </w:r>
      <w:r>
        <w:br w:type="page"/>
      </w:r>
    </w:p>
    <w:p>
      <w:pPr>
        <w:pStyle w:val="Normal"/>
        <w:tabs>
          <w:tab w:val="clear" w:pos="720"/>
          <w:tab w:val="left" w:pos="-1440" w:leader="none"/>
          <w:tab w:val="left" w:pos="-720" w:leader="none"/>
        </w:tabs>
        <w:jc w:val="center"/>
        <w:rPr>
          <w:b/>
          <w:bCs/>
        </w:rPr>
      </w:pPr>
      <w:r>
        <w:rPr>
          <w:b/>
          <w:bCs/>
        </w:rPr>
        <w:t>CERTIFICATE OF SERVICE</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r>
    </w:p>
    <w:p>
      <w:pPr>
        <w:pStyle w:val="Normal"/>
        <w:jc w:val="both"/>
        <w:rPr/>
      </w:pPr>
      <w:r>
        <w:rPr/>
        <w:t>I hereby certify that I have this day served a copy of the</w:t>
      </w:r>
      <w:r>
        <w:rPr>
          <w:b/>
          <w:bCs/>
        </w:rPr>
        <w:t xml:space="preserve"> PREHEARING CONFERENCE STATEMENT OF ENRON CORPORATION</w:t>
      </w:r>
      <w:r>
        <w:rPr/>
        <w:t xml:space="preserve"> on all parties of record in I.00-08-__ by mailing a properly addressed copy by first-class mail with postage prepaid to each party.</w:t>
      </w:r>
    </w:p>
    <w:p>
      <w:pPr>
        <w:pStyle w:val="Normal"/>
        <w:suppressAutoHyphens w:val="true"/>
        <w:ind w:firstLine="720" w:end="0"/>
        <w:jc w:val="both"/>
        <w:rPr/>
      </w:pPr>
      <w:r>
        <w:rPr/>
      </w:r>
    </w:p>
    <w:p>
      <w:pPr>
        <w:pStyle w:val="Normal"/>
        <w:suppressAutoHyphens w:val="true"/>
        <w:ind w:firstLine="720" w:end="0"/>
        <w:jc w:val="both"/>
        <w:rPr/>
      </w:pPr>
      <w:r>
        <w:rPr/>
        <w:t>Executed on August 14, 2000, at Woodland Hills, California.</w:t>
      </w:r>
    </w:p>
    <w:p>
      <w:pPr>
        <w:pStyle w:val="Normal"/>
        <w:tabs>
          <w:tab w:val="clear" w:pos="720"/>
          <w:tab w:val="left" w:pos="-1440" w:leader="none"/>
          <w:tab w:val="left" w:pos="-720" w:leader="none"/>
        </w:tabs>
        <w:spacing w:lineRule="auto" w:line="480"/>
        <w:jc w:val="both"/>
        <w:rPr/>
      </w:pPr>
      <w:r>
        <w:rPr/>
      </w:r>
    </w:p>
    <w:p>
      <w:pPr>
        <w:pStyle w:val="Normal"/>
        <w:tabs>
          <w:tab w:val="clear" w:pos="720"/>
          <w:tab w:val="left" w:pos="-1440" w:leader="none"/>
          <w:tab w:val="left" w:pos="-720" w:leader="none"/>
        </w:tabs>
        <w:spacing w:lineRule="auto" w:line="480"/>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jc w:val="both"/>
        <w:rPr/>
      </w:pPr>
      <w:r>
        <w:rPr/>
      </w:r>
    </w:p>
    <w:p>
      <w:pPr>
        <w:pStyle w:val="Normal"/>
        <w:jc w:val="both"/>
        <w:rPr/>
      </w:pPr>
      <w:r>
        <w:rPr/>
      </w:r>
    </w:p>
    <w:p>
      <w:pPr>
        <w:pStyle w:val="Normal"/>
        <w:jc w:val="both"/>
        <w:rPr/>
      </w:pPr>
      <w:r>
        <w:rPr/>
      </w:r>
    </w:p>
    <w:sectPr>
      <w:footerReference w:type="default" r:id="rId6"/>
      <w:footerReference w:type="first" r:id="rId7"/>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Courier">
    <w:altName w:val="Courier New"/>
    <w:charset w:val="01"/>
    <w:family w:val="modern"/>
    <w:pitch w:val="default"/>
  </w:font>
  <w:font w:name="Courier New">
    <w:charset w:val="01"/>
    <w:family w:val="modern"/>
    <w:pitch w:val="default"/>
  </w:font>
  <w:font w:name="Times">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90" w:type="dxa"/>
          <w:tcBorders/>
        </w:tcPr>
        <w:p>
          <w:pPr>
            <w:pStyle w:val="Normal"/>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tc>
      <w:tc>
        <w:tcPr>
          <w:tcW w:w="19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c>
      <w:tc>
        <w:tcPr>
          <w:tcW w:w="3690" w:type="dxa"/>
          <w:tcBorders/>
        </w:tcPr>
        <w:p>
          <w:pPr>
            <w:pStyle w:val="Normal"/>
            <w:snapToGrid w:val="false"/>
            <w:jc w:val="end"/>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szCs w:val="16"/>
      </w:rPr>
    </w:pPr>
    <w:r>
      <w:rPr>
        <w:sz w:val="16"/>
        <w:szCs w:val="16"/>
      </w:rPr>
      <mc:AlternateContent>
        <mc:Choice Requires="wps">
          <w:drawing>
            <wp:anchor behindDoc="0" distT="0" distB="0" distL="0" distR="0" simplePos="0" locked="0" layoutInCell="0" allowOverlap="1" relativeHeight="2">
              <wp:simplePos x="0" y="0"/>
              <wp:positionH relativeFrom="page">
                <wp:posOffset>914400</wp:posOffset>
              </wp:positionH>
              <wp:positionV relativeFrom="paragraph">
                <wp:posOffset>152400</wp:posOffset>
              </wp:positionV>
              <wp:extent cx="5943600" cy="175895"/>
              <wp:effectExtent l="0" t="0" r="0" b="0"/>
              <wp:wrapNone/>
              <wp:docPr id="1" name=""/>
              <a:graphic xmlns:a="http://schemas.openxmlformats.org/drawingml/2006/main">
                <a:graphicData uri="http://schemas.microsoft.com/office/word/2010/wordprocessingShape">
                  <wps:wsp>
                    <wps:cNvSpPr txBox="1"/>
                    <wps:spPr>
                      <a:xfrm>
                        <a:off x="0" y="0"/>
                        <a:ext cx="5943600" cy="17604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Times New Roman" w:hAnsi="Times New Roman" w:eastAsia="Times New Roman" w:cs="Times New Roman"/>
                              <w:color w:val="auto"/>
                              <w:lang w:val="en-US"/>
                            </w:rPr>
                          </w:r>
                          <w:r>
                            <w:rPr>
                              <w:kern w:val="2"/>
                              <w:sz w:val="24"/>
                              <w:szCs w:val="24"/>
                              <w:rFonts w:ascii="Times New Roman" w:hAnsi="Times New Roman" w:eastAsia="Times New Roman" w:cs="Times New Roman"/>
                              <w:color w:val="auto"/>
                              <w:lang w:val="en-US"/>
                            </w:rPr>
                            <w:t>13</w:t>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8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Times New Roman" w:hAnsi="Times New Roman" w:eastAsia="Times New Roman" w:cs="Times New Roman"/>
                        <w:color w:val="auto"/>
                        <w:lang w:val="en-US"/>
                      </w:rPr>
                    </w:r>
                    <w:r>
                      <w:rPr>
                        <w:kern w:val="2"/>
                        <w:sz w:val="24"/>
                        <w:szCs w:val="24"/>
                        <w:rFonts w:ascii="Times New Roman" w:hAnsi="Times New Roman" w:eastAsia="Times New Roman" w:cs="Times New Roman"/>
                        <w:color w:val="auto"/>
                        <w:lang w:val="en-US"/>
                      </w:rPr>
                      <w:t>13</w:t>
                    </w:r>
                  </w:p>
                </w:txbxContent>
              </v:textbox>
              <v:fill o:detectmouseclick="t" on="false"/>
              <v:stroke color="#3465a4" joinstyle="round" endcap="flat"/>
              <w10:wrap type="none"/>
            </v:shape>
          </w:pict>
        </mc:Fallback>
      </mc:AlternateContent>
    </w:r>
    <w:r>
      <w:rPr>
        <w:sz w:val="16"/>
        <w:szCs w:val="16"/>
      </w:rPr>
      <w:t>69738/93347</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83210"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sz w:val="24"/>
      <w:szCs w:val="24"/>
    </w:rPr>
  </w:style>
  <w:style w:type="paragraph" w:styleId="Heading3">
    <w:name w:val="heading 3"/>
    <w:basedOn w:val="Normal"/>
    <w:next w:val="Normal"/>
    <w:qFormat/>
    <w:pPr>
      <w:numPr>
        <w:ilvl w:val="2"/>
        <w:numId w:val="1"/>
      </w:numPr>
      <w:ind w:hanging="720" w:start="2160" w:end="0"/>
      <w:outlineLvl w:val="2"/>
    </w:pPr>
    <w:rPr>
      <w:b/>
      <w:bCs/>
      <w:sz w:val="24"/>
      <w:szCs w:val="24"/>
    </w:rPr>
  </w:style>
  <w:style w:type="paragraph" w:styleId="Heading4">
    <w:name w:val="heading 4"/>
    <w:basedOn w:val="Normal"/>
    <w:next w:val="Normal"/>
    <w:qFormat/>
    <w:pPr>
      <w:numPr>
        <w:ilvl w:val="3"/>
        <w:numId w:val="1"/>
      </w:numPr>
      <w:ind w:hanging="720" w:start="2880" w:end="0"/>
      <w:outlineLvl w:val="3"/>
    </w:pPr>
    <w:rPr>
      <w:b/>
      <w:bCs/>
      <w:sz w:val="24"/>
      <w:szCs w:val="24"/>
    </w:rPr>
  </w:style>
  <w:style w:type="paragraph" w:styleId="Heading5">
    <w:name w:val="heading 5"/>
    <w:basedOn w:val="Normal"/>
    <w:next w:val="Normal"/>
    <w:qFormat/>
    <w:pPr>
      <w:numPr>
        <w:ilvl w:val="4"/>
        <w:numId w:val="1"/>
      </w:numPr>
      <w:ind w:hanging="720" w:start="3600" w:end="0"/>
      <w:outlineLvl w:val="4"/>
    </w:pPr>
    <w:rPr>
      <w:b/>
      <w:bCs/>
      <w:sz w:val="24"/>
      <w:szCs w:val="24"/>
    </w:rPr>
  </w:style>
  <w:style w:type="paragraph" w:styleId="Heading6">
    <w:name w:val="heading 6"/>
    <w:basedOn w:val="Normal"/>
    <w:next w:val="Normal"/>
    <w:qFormat/>
    <w:pPr>
      <w:numPr>
        <w:ilvl w:val="5"/>
        <w:numId w:val="1"/>
      </w:numPr>
      <w:ind w:hanging="720" w:start="4320" w:end="0"/>
      <w:outlineLvl w:val="5"/>
    </w:pPr>
    <w:rPr>
      <w:b/>
      <w:bCs/>
      <w:sz w:val="24"/>
      <w:szCs w:val="24"/>
    </w:rPr>
  </w:style>
  <w:style w:type="paragraph" w:styleId="Heading7">
    <w:name w:val="heading 7"/>
    <w:basedOn w:val="Normal"/>
    <w:next w:val="Normal"/>
    <w:qFormat/>
    <w:pPr>
      <w:numPr>
        <w:ilvl w:val="6"/>
        <w:numId w:val="1"/>
      </w:numPr>
      <w:ind w:hanging="720" w:start="5040" w:end="0"/>
      <w:outlineLvl w:val="6"/>
    </w:pPr>
    <w:rPr>
      <w:b/>
      <w:bCs/>
      <w:sz w:val="24"/>
      <w:szCs w:val="24"/>
    </w:rPr>
  </w:style>
  <w:style w:type="paragraph" w:styleId="Heading8">
    <w:name w:val="heading 8"/>
    <w:basedOn w:val="Normal"/>
    <w:next w:val="Normal"/>
    <w:qFormat/>
    <w:pPr>
      <w:numPr>
        <w:ilvl w:val="7"/>
        <w:numId w:val="1"/>
      </w:numPr>
      <w:ind w:hanging="720" w:start="5760" w:end="0"/>
      <w:outlineLvl w:val="7"/>
    </w:pPr>
    <w:rPr>
      <w:b/>
      <w:bCs/>
      <w:sz w:val="24"/>
      <w:szCs w:val="24"/>
    </w:rPr>
  </w:style>
  <w:style w:type="paragraph" w:styleId="Heading9">
    <w:name w:val="heading 9"/>
    <w:basedOn w:val="Normal"/>
    <w:next w:val="Normal"/>
    <w:qFormat/>
    <w:pPr>
      <w:numPr>
        <w:ilvl w:val="8"/>
        <w:numId w:val="1"/>
      </w:numPr>
      <w:ind w:hanging="720" w:start="6480" w:end="0"/>
      <w:outlineLvl w:val="8"/>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character" w:styleId="LineNumber">
    <w:name w:val="line number"/>
    <w:basedOn w:val="DefaultParagraphFont"/>
    <w:rPr/>
  </w:style>
  <w:style w:type="paragraph" w:styleId="Heading">
    <w:name w:val="Heading"/>
    <w:basedOn w:val="Normal"/>
    <w:next w:val="BodyText"/>
    <w:qFormat/>
    <w:pPr>
      <w:spacing w:before="240" w:after="60"/>
      <w:jc w:val="center"/>
    </w:pPr>
    <w:rPr>
      <w:rFonts w:ascii="Arial" w:hAnsi="Arial" w:eastAsia="Arial" w:cs="Arial"/>
      <w:b/>
      <w:bCs/>
      <w:kern w:val="2"/>
      <w:sz w:val="32"/>
      <w:szCs w:val="32"/>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UnknownStyle8">
    <w:name w:val="Unknown Style8"/>
    <w:basedOn w:val="Normal"/>
    <w:qFormat/>
    <w:pPr>
      <w:widowControl w:val="false"/>
      <w:jc w:val="center"/>
    </w:pPr>
    <w:rPr>
      <w:rFonts w:ascii="Courier;Courier New" w:hAnsi="Courier;Courier New" w:eastAsia="Courier;Courier New" w:cs="Courier;Courier New"/>
      <w:b/>
      <w:bCs/>
    </w:rPr>
  </w:style>
  <w:style w:type="paragraph" w:styleId="Body1">
    <w:name w:val="Body1"/>
    <w:basedOn w:val="Normal"/>
    <w:qFormat/>
    <w:pPr>
      <w:spacing w:before="0" w:after="240"/>
      <w:ind w:firstLine="1440" w:start="0" w:end="0"/>
    </w:pPr>
    <w:rPr/>
  </w:style>
  <w:style w:type="paragraph" w:styleId="TxBrp11">
    <w:name w:val="TxBr_p11"/>
    <w:basedOn w:val="Normal"/>
    <w:qFormat/>
    <w:pPr>
      <w:widowControl w:val="false"/>
      <w:spacing w:lineRule="atLeast" w:line="289"/>
    </w:pPr>
    <w:rPr/>
  </w:style>
  <w:style w:type="paragraph" w:styleId="TxBrp6">
    <w:name w:val="TxBr_p6"/>
    <w:basedOn w:val="Normal"/>
    <w:qFormat/>
    <w:pPr>
      <w:widowControl w:val="false"/>
      <w:tabs>
        <w:tab w:val="clear" w:pos="720"/>
        <w:tab w:val="left" w:pos="1842" w:leader="none"/>
      </w:tabs>
      <w:spacing w:lineRule="atLeast" w:line="289"/>
      <w:ind w:hanging="0" w:start="402" w:end="0"/>
    </w:pPr>
    <w:rPr/>
  </w:style>
  <w:style w:type="paragraph" w:styleId="PlainText">
    <w:name w:val="Plain Text"/>
    <w:basedOn w:val="Normal"/>
    <w:qFormat/>
    <w:pPr>
      <w:widowControl w:val="false"/>
    </w:pPr>
    <w:rPr>
      <w:rFonts w:ascii="Courier New" w:hAnsi="Courier New" w:eastAsia="Courier New" w:cs="Courier New"/>
      <w:sz w:val="20"/>
      <w:szCs w:val="20"/>
    </w:rPr>
  </w:style>
  <w:style w:type="paragraph" w:styleId="QA">
    <w:name w:val="Q/A"/>
    <w:basedOn w:val="NormalIndent"/>
    <w:qFormat/>
    <w:pPr>
      <w:widowControl w:val="false"/>
      <w:spacing w:before="0" w:after="0"/>
      <w:ind w:hanging="360" w:start="360" w:end="0"/>
    </w:pPr>
    <w:rPr/>
  </w:style>
  <w:style w:type="paragraph" w:styleId="UnknownStyle7">
    <w:name w:val="Unknown Style7"/>
    <w:basedOn w:val="Normal"/>
    <w:qFormat/>
    <w:pPr>
      <w:widowControl w:val="false"/>
      <w:tabs>
        <w:tab w:val="left" w:pos="720" w:leader="none"/>
        <w:tab w:val="left" w:pos="1080" w:leader="none"/>
        <w:tab w:val="left" w:pos="2020" w:leader="none"/>
        <w:tab w:val="left" w:pos="3020" w:leader="none"/>
        <w:tab w:val="left" w:pos="4040" w:leader="none"/>
        <w:tab w:val="left" w:pos="5040" w:leader="none"/>
        <w:tab w:val="left" w:pos="6040" w:leader="none"/>
        <w:tab w:val="left" w:pos="7060" w:leader="none"/>
        <w:tab w:val="left" w:pos="8060" w:leader="none"/>
        <w:tab w:val="left" w:pos="9080" w:leader="none"/>
      </w:tabs>
      <w:spacing w:lineRule="atLeast" w:line="360"/>
      <w:ind w:hanging="360" w:start="720" w:end="0"/>
    </w:pPr>
    <w:rPr>
      <w:rFonts w:ascii="Times;Times New Roman" w:hAnsi="Times;Times New Roman" w:eastAsia="Times;Times New Roman" w:cs="Times;Times New Roman"/>
    </w:rPr>
  </w:style>
  <w:style w:type="paragraph" w:styleId="H5">
    <w:name w:val="H5"/>
    <w:basedOn w:val="Normal"/>
    <w:next w:val="Normal"/>
    <w:qFormat/>
    <w:pPr>
      <w:keepNext w:val="true"/>
      <w:widowControl w:val="false"/>
      <w:spacing w:before="100" w:after="100"/>
    </w:pPr>
    <w:rPr>
      <w:b/>
      <w:bCs/>
      <w:sz w:val="20"/>
      <w:szCs w:val="20"/>
    </w:rPr>
  </w:style>
  <w:style w:type="paragraph" w:styleId="BodyTextIndent2">
    <w:name w:val="Body Text Indent 2"/>
    <w:basedOn w:val="Normal"/>
    <w:qFormat/>
    <w:pPr>
      <w:widowControl w:val="false"/>
      <w:tabs>
        <w:tab w:val="left" w:pos="-1440" w:leader="none"/>
        <w:tab w:val="left" w:pos="-720" w:leader="none"/>
        <w:tab w:val="left" w:pos="72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720" w:end="0"/>
    </w:pPr>
    <w:rPr>
      <w:rFonts w:ascii="Times;Times New Roman" w:hAnsi="Times;Times New Roman" w:eastAsia="Times;Times New Roman" w:cs="Times;Times New Roman"/>
    </w:rPr>
  </w:style>
  <w:style w:type="paragraph" w:styleId="BodyText2">
    <w:name w:val="Body Text 2"/>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1006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2000-08-08T01:42:00Z</dcterms:created>
  <dc:creator>Arter &amp; Hadden</dc:creator>
  <dc:description/>
  <dc:language>en-CA</dc:language>
  <cp:lastModifiedBy>Arter &amp; Hadden</cp:lastModifiedBy>
  <cp:lastPrinted>2000-07-26T07:17:00Z</cp:lastPrinted>
  <dcterms:modified xsi:type="dcterms:W3CDTF">2000-08-09T20:00:00Z</dcterms:modified>
  <cp:revision>36</cp:revision>
  <dc:subject/>
  <dc:title>BEFORE THE PUBLIC UTILITES COMMISSION OF THE STATE OF CALIFORNIA</dc:title>
</cp:coreProperties>
</file>