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jc w:val="both"/>
        <w:rPr/>
      </w:pPr>
      <w:r>
        <w:rPr/>
      </w:r>
    </w:p>
    <w:p>
      <w:pPr>
        <w:pStyle w:val="Heading"/>
        <w:rPr>
          <w:sz w:val="32"/>
        </w:rPr>
      </w:pPr>
      <w:r>
        <w:rPr>
          <w:sz w:val="32"/>
        </w:rPr>
        <w:t>Bypass Charges and Standby Fees</w:t>
      </w:r>
    </w:p>
    <w:p>
      <w:pPr>
        <w:pStyle w:val="Heading"/>
        <w:rPr>
          <w:sz w:val="32"/>
        </w:rPr>
      </w:pPr>
      <w:r>
        <w:rPr>
          <w:sz w:val="32"/>
        </w:rPr>
        <w:t xml:space="preserve">PG&amp;E GRC II </w:t>
      </w:r>
    </w:p>
    <w:p>
      <w:pPr>
        <w:pStyle w:val="Heading1"/>
        <w:ind w:hanging="0" w:start="0"/>
        <w:jc w:val="both"/>
        <w:rPr/>
      </w:pPr>
      <w:r>
        <w:rPr/>
        <w:t>Summary</w:t>
      </w:r>
    </w:p>
    <w:p>
      <w:pPr>
        <w:pStyle w:val="BodyTextIndent3"/>
        <w:rPr/>
      </w:pPr>
      <w:r>
        <w:rPr/>
        <w:t>In its GRC II, PG&amp;E is proposing new bypass charges, flexible pricing options, and standby fees. Intervenor’s testimony is due 5/1/00, before testimony in the DG rate design phase (5/26/00).</w:t>
      </w:r>
    </w:p>
    <w:p>
      <w:pPr>
        <w:pStyle w:val="Normal"/>
        <w:ind w:start="720" w:end="0"/>
        <w:jc w:val="both"/>
        <w:rPr/>
      </w:pPr>
      <w:r>
        <w:rPr/>
      </w:r>
    </w:p>
    <w:p>
      <w:pPr>
        <w:pStyle w:val="Normal"/>
        <w:ind w:start="720" w:end="0"/>
        <w:jc w:val="both"/>
        <w:rPr/>
      </w:pPr>
      <w:r>
        <w:rPr/>
        <w:t xml:space="preserve">Its proposed bypass charge will not be applicable to customers with CTC exemptions according to section 374, and customers installing cogeneration for a portion or all of their load and receiving service under PG&amp;E’s standby schedule. The bypass customer has to pay the risk-adjusted distribution bypass stranded costs: revenue less the avoided opportunity cost. The amount to be assigned through the wires bypass charge, or allocated to other customers in the Large Customer group, is the 10-year NPV payable as a lump sum, or amortized over an appropriate period. </w:t>
      </w:r>
    </w:p>
    <w:p>
      <w:pPr>
        <w:pStyle w:val="Normal"/>
        <w:ind w:start="720" w:end="0"/>
        <w:jc w:val="both"/>
        <w:rPr/>
      </w:pPr>
      <w:r>
        <w:rPr/>
      </w:r>
    </w:p>
    <w:p>
      <w:pPr>
        <w:pStyle w:val="Normal"/>
        <w:ind w:start="720" w:end="0"/>
        <w:jc w:val="both"/>
        <w:rPr/>
      </w:pPr>
      <w:r>
        <w:rPr/>
        <w:t>If the Commission does not adopt the wires bypass charge, PG&amp;E proposes that the costs calculated above be allocated to other ratepayers. In conjunction PG&amp;E proposes to minimize load departure through alternate flexible price schedule in which the offer discounts on tariffs for customers with 500 kW or greater. These rates will be also available to Direct Access (DA) customers.</w:t>
      </w:r>
    </w:p>
    <w:p>
      <w:pPr>
        <w:pStyle w:val="Normal"/>
        <w:ind w:start="720" w:end="0"/>
        <w:jc w:val="both"/>
        <w:rPr/>
      </w:pPr>
      <w:r>
        <w:rPr/>
      </w:r>
    </w:p>
    <w:p>
      <w:pPr>
        <w:pStyle w:val="Normal"/>
        <w:ind w:start="720" w:end="0"/>
        <w:jc w:val="both"/>
        <w:rPr/>
      </w:pPr>
      <w:r>
        <w:rPr/>
        <w:t>For large customers (Schedules E-19 &amp; E-20 – 500 kW and above), the distribution component recommended standby service reservation is approximately 38% average maximum demand charges. PG&amp;E proposes that the additional kWh-based distribution charges for standby service for small commercial schedules be based on a 150 kWh/kW break even point for standby service usage.</w:t>
      </w:r>
    </w:p>
    <w:p>
      <w:pPr>
        <w:pStyle w:val="Heading1"/>
        <w:ind w:hanging="0" w:start="0"/>
        <w:jc w:val="both"/>
        <w:rPr/>
      </w:pPr>
      <w:r>
        <w:rPr/>
        <w:t>PG&amp;E GRC II</w:t>
      </w:r>
    </w:p>
    <w:p>
      <w:pPr>
        <w:pStyle w:val="Heading2"/>
        <w:jc w:val="both"/>
        <w:rPr/>
      </w:pPr>
      <w:r>
        <w:rPr/>
        <w:t>Proceeding Schedule</w:t>
      </w:r>
    </w:p>
    <w:p>
      <w:pPr>
        <w:pStyle w:val="Normal"/>
        <w:ind w:start="720" w:end="0"/>
        <w:jc w:val="both"/>
        <w:rPr/>
      </w:pPr>
      <w:r>
        <w:rPr/>
        <w:t>Intervenors testimony in the GRC II is due before the Rate Design testimony in the Distributed Generation Case (due 5/26)</w:t>
      </w:r>
    </w:p>
    <w:p>
      <w:pPr>
        <w:pStyle w:val="Normal"/>
        <w:ind w:start="720" w:end="0"/>
        <w:jc w:val="both"/>
        <w:rPr/>
      </w:pPr>
      <w:r>
        <w:rPr/>
        <w:t xml:space="preserve"> </w:t>
      </w:r>
    </w:p>
    <w:p>
      <w:pPr>
        <w:pStyle w:val="standard"/>
        <w:tabs>
          <w:tab w:val="clear" w:pos="720"/>
          <w:tab w:val="left" w:pos="5040" w:leader="none"/>
          <w:tab w:val="left" w:pos="8640" w:leader="none"/>
        </w:tabs>
        <w:spacing w:lineRule="auto" w:line="240"/>
        <w:ind w:hanging="0" w:start="720" w:end="0"/>
        <w:jc w:val="both"/>
        <w:rPr>
          <w:rFonts w:ascii="Times New Roman" w:hAnsi="Times New Roman" w:cs="Times New Roman"/>
          <w:sz w:val="20"/>
        </w:rPr>
      </w:pPr>
      <w:r>
        <w:rPr>
          <w:rFonts w:cs="Times New Roman" w:ascii="Times New Roman" w:hAnsi="Times New Roman"/>
          <w:sz w:val="20"/>
        </w:rPr>
        <w:t xml:space="preserve">Pre-Hearing Conference </w:t>
        <w:tab/>
        <w:t>March 28, 2000</w:t>
      </w:r>
    </w:p>
    <w:p>
      <w:pPr>
        <w:pStyle w:val="standard"/>
        <w:tabs>
          <w:tab w:val="clear" w:pos="720"/>
          <w:tab w:val="left" w:pos="5040" w:leader="none"/>
          <w:tab w:val="left" w:pos="8640" w:leader="none"/>
        </w:tabs>
        <w:spacing w:lineRule="auto" w:line="240"/>
        <w:ind w:hanging="0" w:start="720" w:end="0"/>
        <w:jc w:val="both"/>
        <w:rPr/>
      </w:pPr>
      <w:r>
        <w:rPr>
          <w:rFonts w:cs="Times New Roman" w:ascii="Times New Roman" w:hAnsi="Times New Roman"/>
          <w:b/>
          <w:sz w:val="20"/>
        </w:rPr>
        <w:t>Intervenor’s Testimony</w:t>
      </w:r>
      <w:r>
        <w:rPr>
          <w:rFonts w:cs="Times New Roman" w:ascii="Times New Roman" w:hAnsi="Times New Roman"/>
          <w:b/>
          <w:sz w:val="20"/>
          <w:vertAlign w:val="superscript"/>
        </w:rPr>
        <w:tab/>
      </w:r>
      <w:r>
        <w:rPr>
          <w:rFonts w:cs="Times New Roman" w:ascii="Times New Roman" w:hAnsi="Times New Roman"/>
          <w:b/>
          <w:sz w:val="20"/>
        </w:rPr>
        <w:t>May 1, 2000</w:t>
      </w:r>
    </w:p>
    <w:p>
      <w:pPr>
        <w:pStyle w:val="standard"/>
        <w:tabs>
          <w:tab w:val="clear" w:pos="720"/>
          <w:tab w:val="left" w:pos="5040" w:leader="none"/>
          <w:tab w:val="left" w:pos="8640" w:leader="none"/>
        </w:tabs>
        <w:spacing w:lineRule="auto" w:line="240"/>
        <w:ind w:hanging="0" w:start="720" w:end="0"/>
        <w:jc w:val="both"/>
        <w:rPr>
          <w:rFonts w:ascii="Times New Roman" w:hAnsi="Times New Roman" w:cs="Times New Roman"/>
          <w:sz w:val="20"/>
        </w:rPr>
      </w:pPr>
      <w:r>
        <w:rPr>
          <w:rFonts w:cs="Times New Roman" w:ascii="Times New Roman" w:hAnsi="Times New Roman"/>
          <w:sz w:val="20"/>
        </w:rPr>
        <w:t>Evidentiary Hearings (3 weeks)</w:t>
        <w:tab/>
        <w:t>June 19- July, 2000</w:t>
      </w:r>
    </w:p>
    <w:p>
      <w:pPr>
        <w:pStyle w:val="Heading2"/>
        <w:jc w:val="both"/>
        <w:rPr/>
      </w:pPr>
      <w:r>
        <w:rPr/>
        <w:t>Bypass Charge</w:t>
      </w:r>
    </w:p>
    <w:p>
      <w:pPr>
        <w:pStyle w:val="Normal"/>
        <w:ind w:start="720" w:end="0"/>
        <w:jc w:val="both"/>
        <w:rPr/>
      </w:pPr>
      <w:r>
        <w:rPr/>
        <w:t xml:space="preserve">PG&amp;E is proposing that a wires bypass charge be applied to any customer with load greater than 20 kW departing. </w:t>
      </w:r>
    </w:p>
    <w:p>
      <w:pPr>
        <w:pStyle w:val="BodyTextIndent"/>
        <w:jc w:val="both"/>
        <w:rPr/>
      </w:pPr>
      <w:r>
        <w:rPr/>
        <w:t xml:space="preserve">As an alternative, PG&amp;E is proposing that the lost distribution margin be allocated to PG&amp;E’s other customers. In conjunction the commission should approve PG&amp;E’s flexible pricing option, Schedule 30.  </w:t>
      </w:r>
    </w:p>
    <w:p>
      <w:pPr>
        <w:pStyle w:val="Heading3"/>
        <w:rPr/>
      </w:pPr>
      <w:r>
        <w:rPr/>
        <w:t>Current Rate Structure</w:t>
      </w:r>
    </w:p>
    <w:p>
      <w:pPr>
        <w:pStyle w:val="BodyTextIndent2"/>
        <w:jc w:val="both"/>
        <w:rPr/>
      </w:pPr>
      <w:r>
        <w:rPr/>
        <w:t>PG&amp;E believes that having a single rate for all customer s is an “invitation” for economic bypass. In 1997 Rate Design Window, the commission grated in part Schedule E-TD providing PG&amp;E limited pricing flexibility.  “This reflected the commission’s long standing policy in preventing uneconomic wires bypass. The rates however were inadequate to prevent bypass. A floor was established at 120% of system average marginal cost levels. In addition, the commission required shareholders to provide 25% of the funding without any upside opportunity”. PG&amp;E considers that it doesn’t currently have adequate pricing flexibility to respond to economic bypass.</w:t>
      </w:r>
    </w:p>
    <w:p>
      <w:pPr>
        <w:pStyle w:val="Heading3"/>
        <w:rPr/>
      </w:pPr>
      <w:r>
        <w:rPr/>
        <w:t>Proposed Bypass Charge</w:t>
      </w:r>
    </w:p>
    <w:p>
      <w:pPr>
        <w:pStyle w:val="Normal"/>
        <w:ind w:start="1440" w:end="0"/>
        <w:jc w:val="both"/>
        <w:rPr/>
      </w:pPr>
      <w:r>
        <w:rPr/>
        <w:t xml:space="preserve">The first 10 years of lost margins associated with customers departing PG&amp;E’s system be assigned directly to the individual departing customers in the form of a wires bypass charge. </w:t>
      </w:r>
    </w:p>
    <w:p>
      <w:pPr>
        <w:pStyle w:val="Normal"/>
        <w:ind w:start="1440" w:end="0"/>
        <w:jc w:val="both"/>
        <w:rPr/>
      </w:pPr>
      <w:r>
        <w:rPr/>
      </w:r>
    </w:p>
    <w:p>
      <w:pPr>
        <w:pStyle w:val="Normal"/>
        <w:ind w:start="1440" w:end="0"/>
        <w:jc w:val="both"/>
        <w:rPr/>
      </w:pPr>
      <w:r>
        <w:rPr/>
        <w:t xml:space="preserve">This charge will be applicable to all customers with a load greater or equal to 20 kW. </w:t>
      </w:r>
    </w:p>
    <w:p>
      <w:pPr>
        <w:pStyle w:val="Normal"/>
        <w:ind w:start="1440" w:end="0"/>
        <w:jc w:val="both"/>
        <w:rPr/>
      </w:pPr>
      <w:r>
        <w:rPr/>
        <w:t>PG&amp;E would not apply this charge to (1) customers receiving CTC exemptions from irrigation districts pursuant to sec. 374(a) or (2) customers installing cogeneration units for all or a portion of their load and taking standby service from PG&amp;E for that portion of their load.</w:t>
      </w:r>
    </w:p>
    <w:p>
      <w:pPr>
        <w:pStyle w:val="Heading4"/>
        <w:rPr/>
      </w:pPr>
      <w:r>
        <w:rPr/>
        <w:t>The wires bypass charge has the following elements</w:t>
      </w:r>
    </w:p>
    <w:p>
      <w:pPr>
        <w:pStyle w:val="Normal"/>
        <w:ind w:start="2160" w:end="0"/>
        <w:jc w:val="both"/>
        <w:rPr/>
      </w:pPr>
      <w:r>
        <w:rPr>
          <w:b/>
        </w:rPr>
        <w:t>Stranded distribution costs</w:t>
      </w:r>
      <w:r>
        <w:rPr/>
        <w:t xml:space="preserve"> are defined as the customer’s revenue, prior to bypass, less the costs the utility is able to avoid as a result of the customer’s departure (opportunity value).</w:t>
      </w:r>
    </w:p>
    <w:p>
      <w:pPr>
        <w:pStyle w:val="Normal"/>
        <w:ind w:start="2160" w:end="0"/>
        <w:jc w:val="both"/>
        <w:rPr/>
      </w:pPr>
      <w:r>
        <w:rPr/>
      </w:r>
    </w:p>
    <w:p>
      <w:pPr>
        <w:pStyle w:val="Normal"/>
        <w:ind w:start="2160" w:end="0"/>
        <w:jc w:val="both"/>
        <w:rPr/>
      </w:pPr>
      <w:r>
        <w:rPr>
          <w:b/>
        </w:rPr>
        <w:t xml:space="preserve">Opportunity value of dedicated distribution facilities: </w:t>
      </w:r>
      <w:r>
        <w:rPr/>
        <w:t xml:space="preserve">Stranded cost occur when local facilities are unutilized or underutilized following a bypass. Some facilities, such as meters, transformers, and service drops may have been dedicated to the departing customer. These facilities can be redeployed at a cost (refurbishment and removal). As a result dedicated facilities have little or no opportunity value. </w:t>
      </w:r>
    </w:p>
    <w:p>
      <w:pPr>
        <w:pStyle w:val="Normal"/>
        <w:ind w:start="2160" w:end="0"/>
        <w:jc w:val="both"/>
        <w:rPr/>
      </w:pPr>
      <w:r>
        <w:rPr/>
      </w:r>
    </w:p>
    <w:p>
      <w:pPr>
        <w:pStyle w:val="Normal"/>
        <w:ind w:start="2160" w:end="0"/>
        <w:jc w:val="both"/>
        <w:rPr/>
      </w:pPr>
      <w:r>
        <w:rPr>
          <w:b/>
        </w:rPr>
        <w:t xml:space="preserve">Opportunity vale of shared distribution facilities: </w:t>
      </w:r>
      <w:r>
        <w:rPr/>
        <w:t>The local system, which has been sized to include the departing customer, will become underutilized. The distribution capacity no longer used will become underutilized. As a partial offset, the departing customer frees up capacity, which may have opportunity value in that it may allow PG&amp;E to postpone future investments that may have been required to serve future additional load. The opportunity value is highly location specific and timing sensitive. PG&amp;E’s best estimates of the opportunity value of distribution capacity are its distribution planning area (DPA) level distribution marginal costs.</w:t>
      </w:r>
    </w:p>
    <w:p>
      <w:pPr>
        <w:pStyle w:val="Heading4"/>
        <w:rPr/>
      </w:pPr>
      <w:r>
        <w:rPr/>
        <w:t>Procedure for determining the wires bypass charge</w:t>
      </w:r>
    </w:p>
    <w:p>
      <w:pPr>
        <w:pStyle w:val="Normal"/>
        <w:ind w:start="2160" w:end="0"/>
        <w:jc w:val="both"/>
        <w:rPr/>
      </w:pPr>
      <w:r>
        <w:rPr/>
        <w:t>Estimate the revenue that the bypass customer would have paid each year for the ten-year period.</w:t>
      </w:r>
    </w:p>
    <w:p>
      <w:pPr>
        <w:pStyle w:val="Normal"/>
        <w:ind w:start="2160" w:end="0"/>
        <w:jc w:val="both"/>
        <w:rPr/>
      </w:pPr>
      <w:r>
        <w:rPr/>
      </w:r>
    </w:p>
    <w:p>
      <w:pPr>
        <w:pStyle w:val="Normal"/>
        <w:ind w:start="2160" w:end="0"/>
        <w:jc w:val="both"/>
        <w:rPr/>
      </w:pPr>
      <w:r>
        <w:rPr/>
        <w:t>Estimate the cost PG&amp;E would avoid over the next ten years – customer access costs, shared distribution costs. These avoided costs are based on marginal costs. In the case of a departing customer from the wholesale distribution tariff, PG&amp;E will consider any FERC-jurisdiction wholesale revenues received this customer in the opportunity value calculation.</w:t>
      </w:r>
    </w:p>
    <w:p>
      <w:pPr>
        <w:pStyle w:val="Normal"/>
        <w:ind w:start="2160" w:end="0"/>
        <w:jc w:val="both"/>
        <w:rPr/>
      </w:pPr>
      <w:r>
        <w:rPr/>
      </w:r>
    </w:p>
    <w:p>
      <w:pPr>
        <w:pStyle w:val="Normal"/>
        <w:ind w:start="2160" w:end="0"/>
        <w:jc w:val="both"/>
        <w:rPr/>
      </w:pPr>
      <w:r>
        <w:rPr/>
        <w:t xml:space="preserve">The risk-adjusted distribution bypass stranded costs is the revenue less the avoided opportunity cost. The amount to be assigned through the wires bypass charge, or allocated to other customer sin the Large Customer group, is the 10-year NPV payable as a lump sum, or amortized over an appropriate period.  </w:t>
      </w:r>
    </w:p>
    <w:p>
      <w:pPr>
        <w:pStyle w:val="Heading4"/>
        <w:rPr/>
      </w:pPr>
      <w:r>
        <w:rPr/>
        <w:t>Alternate proposal</w:t>
      </w:r>
    </w:p>
    <w:p>
      <w:pPr>
        <w:pStyle w:val="Normal"/>
        <w:ind w:start="2160" w:end="0"/>
        <w:jc w:val="both"/>
        <w:rPr/>
      </w:pPr>
      <w:r>
        <w:rPr/>
        <w:t>If the commission does not adopt the wires bypass charge, PG&amp;E propose that the costs calculated above be allocated to other ratepayers. In conjunction PG&amp;E proposes to minimize load departure through a flexible price Schedule E-30.</w:t>
      </w:r>
    </w:p>
    <w:p>
      <w:pPr>
        <w:pStyle w:val="Heading2"/>
        <w:jc w:val="both"/>
        <w:rPr/>
      </w:pPr>
      <w:r>
        <w:rPr/>
        <w:t>Flexible Pricing Options</w:t>
      </w:r>
    </w:p>
    <w:p>
      <w:pPr>
        <w:pStyle w:val="Heading3"/>
        <w:tabs>
          <w:tab w:val="clear" w:pos="1080"/>
          <w:tab w:val="left" w:pos="720" w:leader="none"/>
          <w:tab w:val="left" w:pos="1440" w:leader="none"/>
        </w:tabs>
        <w:rPr/>
      </w:pPr>
      <w:r>
        <w:rPr/>
        <w:t>Schedule E-30</w:t>
      </w:r>
    </w:p>
    <w:p>
      <w:pPr>
        <w:pStyle w:val="Normal"/>
        <w:ind w:start="1440" w:end="0"/>
        <w:jc w:val="both"/>
        <w:rPr/>
      </w:pPr>
      <w:r>
        <w:rPr>
          <w:b/>
        </w:rPr>
        <w:t>Customer Eligibility:</w:t>
      </w:r>
      <w:r>
        <w:rPr/>
        <w:t xml:space="preserve"> Demand exceeding 500 kW that can document a firm offer of service from a competing distribution provider, and whether the bypass of PG&amp;E would be uneconomic.</w:t>
      </w:r>
    </w:p>
    <w:p>
      <w:pPr>
        <w:pStyle w:val="Normal"/>
        <w:ind w:start="1440" w:end="0"/>
        <w:jc w:val="both"/>
        <w:rPr>
          <w:b/>
        </w:rPr>
      </w:pPr>
      <w:r>
        <w:rPr>
          <w:b/>
        </w:rPr>
      </w:r>
    </w:p>
    <w:p>
      <w:pPr>
        <w:pStyle w:val="Normal"/>
        <w:ind w:start="1440" w:end="0"/>
        <w:jc w:val="both"/>
        <w:rPr/>
      </w:pPr>
      <w:r>
        <w:rPr>
          <w:b/>
        </w:rPr>
        <w:t>Price Calculation:</w:t>
      </w:r>
      <w:r>
        <w:rPr/>
        <w:t xml:space="preserve"> PG&amp;E proposes to base schedule E-30 on the economics of a customer on a case by case basis. Rate discounts will be tied to marginal cost based price floors to ensure that only economic bypass is prevented and a positive contribution to the margin is secured. PG&amp;E will discount no more than the distribution portion of the customer’s unbundled rate. These matching offers will be made using commission pre-approved standard form contracts. PG&amp;E will not offer the rates to any customers with competitive offers, which are properly using a 374 CTC exemption. PG&amp;E will not discount its price below its actual DPA-specific marginal cost of service. PG&amp;E would expect that its decision to provide service to customers under this rate would be subject to reasonableness review.</w:t>
      </w:r>
    </w:p>
    <w:p>
      <w:pPr>
        <w:pStyle w:val="Heading3"/>
        <w:rPr/>
      </w:pPr>
      <w:r>
        <w:rPr/>
        <w:t>Business Development Rate Incentive</w:t>
      </w:r>
    </w:p>
    <w:p>
      <w:pPr>
        <w:pStyle w:val="Normal"/>
        <w:ind w:start="1440" w:end="0"/>
        <w:jc w:val="both"/>
        <w:rPr/>
      </w:pPr>
      <w:r>
        <w:rPr/>
        <w:t xml:space="preserve">PG&amp;E is proposing schedule BD as a load retention, expansion and attraction schedule. This would supplement schedule ED, BBR and BAR which are all currently closed to new load. </w:t>
      </w:r>
    </w:p>
    <w:p>
      <w:pPr>
        <w:pStyle w:val="Normal"/>
        <w:ind w:start="1440" w:end="0"/>
        <w:jc w:val="both"/>
        <w:rPr/>
      </w:pPr>
      <w:r>
        <w:rPr>
          <w:b/>
        </w:rPr>
        <w:t>Availability:</w:t>
      </w:r>
      <w:r>
        <w:rPr/>
        <w:t xml:space="preserve"> Schedule BD will be available at PG&amp;E’s sole discretion for customers who are locating, retaining or expanding major business facilities on PG&amp;E’s electric distribution system.</w:t>
      </w:r>
    </w:p>
    <w:p>
      <w:pPr>
        <w:pStyle w:val="Normal"/>
        <w:ind w:start="1440" w:end="0"/>
        <w:jc w:val="both"/>
        <w:rPr/>
      </w:pPr>
      <w:r>
        <w:rPr>
          <w:b/>
        </w:rPr>
        <w:t>Eligibility:</w:t>
      </w:r>
      <w:r>
        <w:rPr/>
        <w:t xml:space="preserve"> Maximum demand greater than 500 kW for new customers, existing customers must retain at least 500 kW, and expanding customers must add at least 200 kW for a total demand greater than 500 kW.</w:t>
      </w:r>
    </w:p>
    <w:p>
      <w:pPr>
        <w:pStyle w:val="Normal"/>
        <w:ind w:start="1440" w:end="0"/>
        <w:jc w:val="both"/>
        <w:rPr/>
      </w:pPr>
      <w:r>
        <w:rPr>
          <w:b/>
        </w:rPr>
        <w:t>Rate Structure:</w:t>
      </w:r>
      <w:r>
        <w:rPr/>
        <w:t xml:space="preserve"> This rate would provide a five year contract with declining discount from the otherwise applicable non-commodity components of E-19 and E-20. (15% 1st year, 10% 2nd year, 5% 3rd year and 0% 4</w:t>
      </w:r>
      <w:r>
        <w:rPr>
          <w:vertAlign w:val="superscript"/>
        </w:rPr>
        <w:t>th</w:t>
      </w:r>
      <w:r>
        <w:rPr/>
        <w:t xml:space="preserve"> and 5</w:t>
      </w:r>
      <w:r>
        <w:rPr>
          <w:vertAlign w:val="superscript"/>
        </w:rPr>
        <w:t>th</w:t>
      </w:r>
      <w:r>
        <w:rPr/>
        <w:t xml:space="preserve"> year).</w:t>
      </w:r>
    </w:p>
    <w:p>
      <w:pPr>
        <w:pStyle w:val="Heading2"/>
        <w:jc w:val="both"/>
        <w:rPr/>
      </w:pPr>
      <w:r>
        <w:rPr/>
        <w:t>Standby Rates</w:t>
      </w:r>
    </w:p>
    <w:p>
      <w:pPr>
        <w:pStyle w:val="BodyTextIndent3"/>
        <w:rPr/>
      </w:pPr>
      <w:r>
        <w:rPr/>
        <w:t xml:space="preserve">PG&amp;E offers the service to approximately 300 customer’s (cogens and QFs). </w:t>
      </w:r>
    </w:p>
    <w:p>
      <w:pPr>
        <w:pStyle w:val="Normal"/>
        <w:ind w:start="720" w:end="0"/>
        <w:jc w:val="both"/>
        <w:rPr/>
      </w:pPr>
      <w:r>
        <w:rPr/>
      </w:r>
    </w:p>
    <w:p>
      <w:pPr>
        <w:pStyle w:val="Normal"/>
        <w:ind w:start="720" w:end="0"/>
        <w:jc w:val="both"/>
        <w:rPr/>
      </w:pPr>
      <w:r>
        <w:rPr/>
        <w:t xml:space="preserve">The distribution component recommended standby service reservation in this GRC is approximately 38% of the corresponding weighted annual average maximum demand charges at each service voltage for schedule E-19 and E-20 (same determinant as in 1993 GRC). PG&amp;E proposes that the additional kWh-based  distribution charges for standby service also be established relative to the standard charges for small commercial schedules, based on a 150 kWh/kW break even point for standby service usage. This would be comparable to the level of capacity cost recovery that is already embedded in PG&amp;E’s current standby service energy charges. </w:t>
      </w:r>
    </w:p>
    <w:p>
      <w:pPr>
        <w:pStyle w:val="Normal"/>
        <w:ind w:start="720" w:end="0"/>
        <w:jc w:val="both"/>
        <w:rPr/>
      </w:pPr>
      <w:r>
        <w:rPr/>
      </w:r>
    </w:p>
    <w:p>
      <w:pPr>
        <w:pStyle w:val="Normal"/>
        <w:ind w:start="720" w:end="0"/>
        <w:jc w:val="both"/>
        <w:rPr/>
      </w:pPr>
      <w:r>
        <w:rPr/>
        <w:t xml:space="preserve">Standby service customers would continue to pay the same monthly customer charge as is determined by each customer’s otherwise applicable regular service schedule. PG&amp;E has asked to be relieved of the obligation of providing future standby service for auxiliary loads. If PG&amp;E has to offer this service, the reservation charges based on 100 % contract capacity multiplier.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tabs>
        <w:tab w:val="left" w:pos="720" w:leader="none"/>
      </w:tabs>
      <w:spacing w:before="240" w:after="60"/>
      <w:ind w:hanging="0" w:start="360" w:end="0"/>
      <w:outlineLvl w:val="1"/>
    </w:pPr>
    <w:rPr>
      <w:rFonts w:ascii="Arial" w:hAnsi="Arial" w:cs="Arial"/>
      <w:b/>
      <w:i/>
      <w:sz w:val="24"/>
    </w:rPr>
  </w:style>
  <w:style w:type="paragraph" w:styleId="Heading3">
    <w:name w:val="heading 3"/>
    <w:basedOn w:val="Normal"/>
    <w:next w:val="Normal"/>
    <w:qFormat/>
    <w:pPr>
      <w:keepNext w:val="true"/>
      <w:numPr>
        <w:ilvl w:val="2"/>
        <w:numId w:val="1"/>
      </w:numPr>
      <w:tabs>
        <w:tab w:val="clear" w:pos="720"/>
        <w:tab w:val="left" w:pos="1080" w:leader="none"/>
        <w:tab w:val="left" w:pos="1440" w:leader="none"/>
      </w:tabs>
      <w:spacing w:before="240" w:after="60"/>
      <w:ind w:hanging="0" w:start="1080" w:end="0"/>
      <w:jc w:val="both"/>
      <w:outlineLvl w:val="2"/>
    </w:pPr>
    <w:rPr>
      <w:rFonts w:ascii="Arial" w:hAnsi="Arial" w:cs="Arial"/>
      <w:sz w:val="24"/>
    </w:rPr>
  </w:style>
  <w:style w:type="paragraph" w:styleId="Heading4">
    <w:name w:val="heading 4"/>
    <w:basedOn w:val="Normal"/>
    <w:next w:val="Normal"/>
    <w:qFormat/>
    <w:pPr>
      <w:keepNext w:val="true"/>
      <w:numPr>
        <w:ilvl w:val="3"/>
        <w:numId w:val="1"/>
      </w:numPr>
      <w:tabs>
        <w:tab w:val="clear" w:pos="720"/>
        <w:tab w:val="left" w:pos="2160" w:leader="none"/>
      </w:tabs>
      <w:spacing w:before="240" w:after="60"/>
      <w:ind w:hanging="0" w:start="1800" w:end="0"/>
      <w:jc w:val="both"/>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7z0">
    <w:name w:val="WW8Num7z0"/>
    <w:qFormat/>
    <w:rPr/>
  </w:style>
  <w:style w:type="character" w:styleId="WW8Num10z0">
    <w:name w:val="WW8Num10z0"/>
    <w:qFormat/>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7z0">
    <w:name w:val="WW8Num17z0"/>
    <w:qFormat/>
    <w:rPr>
      <w:rFonts w:ascii="Symbol" w:hAnsi="Symbol" w:cs="Symbol"/>
      <w:color w:val="auto"/>
    </w:rPr>
  </w:style>
  <w:style w:type="character" w:styleId="WW8Num24z0">
    <w:name w:val="WW8Num24z0"/>
    <w:qFormat/>
    <w:rPr>
      <w:rFonts w:ascii="Symbol" w:hAnsi="Symbol" w:cs="Symbol"/>
      <w:color w:val="auto"/>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1440" w:end="0"/>
    </w:pPr>
    <w:rPr/>
  </w:style>
  <w:style w:type="paragraph" w:styleId="TOC1">
    <w:name w:val="toc 1"/>
    <w:basedOn w:val="Normal"/>
    <w:next w:val="Normal"/>
    <w:pPr>
      <w:spacing w:before="120" w:after="120"/>
    </w:pPr>
    <w:rPr>
      <w:b/>
      <w:caps/>
    </w:rPr>
  </w:style>
  <w:style w:type="paragraph" w:styleId="TOC2">
    <w:name w:val="toc 2"/>
    <w:basedOn w:val="Normal"/>
    <w:next w:val="Normal"/>
    <w:pPr>
      <w:tabs>
        <w:tab w:val="clear" w:pos="720"/>
        <w:tab w:val="right" w:pos="8630" w:leader="dot"/>
      </w:tabs>
      <w:ind w:hanging="0" w:start="200" w:end="0"/>
    </w:pPr>
    <w:rPr>
      <w:lang w:val="en-CA"/>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FootnoteText">
    <w:name w:val="footnote text"/>
    <w:basedOn w:val="Normal"/>
    <w:pPr>
      <w:spacing w:before="0" w:after="240"/>
    </w:pPr>
    <w:rPr>
      <w:rFonts w:ascii="PALATINO;Book Antiqua" w:hAnsi="PALATINO;Book Antiqua" w:cs="PALATINO;Book Antiqua"/>
      <w:sz w:val="24"/>
      <w:lang w:eastAsia="en-CA"/>
    </w:rPr>
  </w:style>
  <w:style w:type="paragraph" w:styleId="standard">
    <w:name w:val="standard"/>
    <w:basedOn w:val="Normal"/>
    <w:qFormat/>
    <w:pPr>
      <w:spacing w:lineRule="auto" w:line="360"/>
      <w:ind w:firstLine="720" w:start="0" w:end="0"/>
    </w:pPr>
    <w:rPr>
      <w:rFonts w:ascii="PALATINO;Book Antiqua" w:hAnsi="PALATINO;Book Antiqua" w:cs="PALATINO;Book Antiqua"/>
      <w:sz w:val="26"/>
      <w:lang w:eastAsia="en-CA"/>
    </w:rPr>
  </w:style>
  <w:style w:type="paragraph" w:styleId="BodyTextIndent3">
    <w:name w:val="Body Text Indent 3"/>
    <w:basedOn w:val="Normal"/>
    <w:qFormat/>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2000-04-19T20:18:00Z</dcterms:created>
  <dc:creator>Bruno Gaillard</dc:creator>
  <dc:description>Bypass ChargeCustomer charge on OAT;Customer charge on OAT;Proposed Bypass ChargeSCE</dc:description>
  <cp:keywords>customer charge load sce schedule</cp:keywords>
  <dc:language>en-CA</dc:language>
  <cp:lastModifiedBy>Bruno Gaillard</cp:lastModifiedBy>
  <cp:lastPrinted>1999-11-02T09:42:00Z</cp:lastPrinted>
  <dcterms:modified xsi:type="dcterms:W3CDTF">2000-04-19T20:18:00Z</dcterms:modified>
  <cp:revision>2</cp:revision>
  <dc:subject/>
  <dc:title>PG&amp;E GRC II </dc:title>
</cp:coreProperties>
</file>