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end="720"/>
        <w:jc w:val="center"/>
        <w:rPr/>
      </w:pPr>
      <w:r>
        <w:rPr/>
        <w:t>Proposed Bakersfield, California lateral</w:t>
      </w:r>
    </w:p>
    <w:p>
      <w:pPr>
        <w:pStyle w:val="Normal"/>
        <w:rPr/>
      </w:pPr>
      <w:r>
        <w:rPr/>
      </w:r>
    </w:p>
    <w:p>
      <w:pPr>
        <w:pStyle w:val="Normal"/>
        <w:rPr/>
      </w:pPr>
      <w:r>
        <w:rPr/>
      </w:r>
    </w:p>
    <w:p>
      <w:pPr>
        <w:pStyle w:val="BodyText"/>
        <w:rPr/>
      </w:pPr>
      <w:r>
        <w:rPr/>
        <w:t>Transwestern Pipeline Company (TW) and Pacific Gas and Electric Company (PG&amp;E) are discussing the opportunity to serve new potential power load in the Bakersfield, California area.  Developers proposing seven power plants have either filed, or are expected to file with the California Energy Commission (CEC) to build over 4800 megawatts.  The incremental gas load associated with this new electric generation is over 800 MMBtu/day.</w:t>
      </w:r>
    </w:p>
    <w:p>
      <w:pPr>
        <w:pStyle w:val="BodyText"/>
        <w:rPr/>
      </w:pPr>
      <w:r>
        <w:rPr/>
      </w:r>
    </w:p>
    <w:p>
      <w:pPr>
        <w:pStyle w:val="BodyText"/>
        <w:rPr/>
      </w:pPr>
      <w:r>
        <w:rPr/>
        <w:t xml:space="preserve">Gas sourced from the San Juan, Permian, and Panhandle supply basins will flow west on TW to the California border.  Once the gas is delivered to the border, it will be transported on PG&amp;E’s existing transmission line via a backhaul service (or by expanding PG&amp;E’s Line 300) to the proposed lateral.  TW is proposing to construct a lateral off PG&amp;E from Bakersfield to McKittrick.  This twenty-mile lateral will be new construction of 20” diameter pipe for capacity up to 300,000 MMBtu/day.  Estimated costs are $28.3 million for the pipeline and approximately $1.04 million for each interconnect. </w:t>
      </w:r>
    </w:p>
    <w:p>
      <w:pPr>
        <w:pStyle w:val="BodyText"/>
        <w:rPr/>
      </w:pPr>
      <w:r>
        <w:rPr/>
        <w:t xml:space="preserve"> </w:t>
      </w:r>
    </w:p>
    <w:p>
      <w:pPr>
        <w:pStyle w:val="BodyText"/>
        <w:rPr/>
      </w:pPr>
      <w:r>
        <w:rPr/>
        <w:t>The McKittrick area, located forty miles west of Bakersfield, is the “hub” of four of the seven proposed power projects.  In this area are also various natural gas pipelines and an electric transmission system.  The current supply competition is Kern/Mojave and SoCal Gas.</w:t>
      </w:r>
    </w:p>
    <w:p>
      <w:pPr>
        <w:pStyle w:val="BodyText"/>
        <w:rPr/>
      </w:pPr>
      <w:r>
        <w:rPr/>
      </w:r>
    </w:p>
    <w:p>
      <w:pPr>
        <w:pStyle w:val="BodyText"/>
        <w:rPr/>
      </w:pPr>
      <w:r>
        <w:rPr/>
        <w:drawing>
          <wp:inline distT="0" distB="0" distL="0" distR="0">
            <wp:extent cx="5469255" cy="39014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7" r="-5" b="-7"/>
                    <a:stretch>
                      <a:fillRect/>
                    </a:stretch>
                  </pic:blipFill>
                  <pic:spPr bwMode="auto">
                    <a:xfrm>
                      <a:off x="0" y="0"/>
                      <a:ext cx="5469255" cy="3901440"/>
                    </a:xfrm>
                    <a:prstGeom prst="rect">
                      <a:avLst/>
                    </a:prstGeom>
                    <a:noFill/>
                  </pic:spPr>
                </pic:pic>
              </a:graphicData>
            </a:graphic>
          </wp:inline>
        </w:drawing>
      </w:r>
    </w:p>
    <w:p>
      <w:pPr>
        <w:pStyle w:val="Normal"/>
        <w:spacing w:lineRule="auto" w:line="360"/>
        <w:rPr/>
      </w:pPr>
      <w:r>
        <w:rPr/>
        <w:t xml:space="preserve">   </w:t>
      </w:r>
      <w:r>
        <w:rPr/>
        <w:t>Source: Pacific Gas and Electric Company (PG&amp;E)</w:t>
      </w:r>
      <w:r>
        <w:br w:type="page"/>
      </w:r>
    </w:p>
    <w:p>
      <w:pPr>
        <w:pStyle w:val="Normal"/>
        <w:spacing w:lineRule="auto" w:line="360"/>
        <w:rPr/>
      </w:pPr>
      <w:r>
        <w:rPr/>
      </w:r>
    </w:p>
    <w:tbl>
      <w:tblPr>
        <w:tblW w:w="8118" w:type="dxa"/>
        <w:jc w:val="start"/>
        <w:tblInd w:w="0" w:type="dxa"/>
        <w:tblLayout w:type="fixed"/>
        <w:tblCellMar>
          <w:top w:w="0" w:type="dxa"/>
          <w:start w:w="108" w:type="dxa"/>
          <w:bottom w:w="0" w:type="dxa"/>
          <w:end w:w="108" w:type="dxa"/>
        </w:tblCellMar>
      </w:tblPr>
      <w:tblGrid>
        <w:gridCol w:w="1998"/>
        <w:gridCol w:w="1387"/>
        <w:gridCol w:w="1371"/>
        <w:gridCol w:w="1371"/>
        <w:gridCol w:w="1631"/>
        <w:gridCol w:w="360"/>
      </w:tblGrid>
      <w:tr>
        <w:trPr/>
        <w:tc>
          <w:tcPr>
            <w:tcW w:w="8118" w:type="dxa"/>
            <w:gridSpan w:val="6"/>
            <w:tcBorders>
              <w:top w:val="single" w:sz="12" w:space="0" w:color="000000"/>
              <w:start w:val="single" w:sz="12" w:space="0" w:color="000000"/>
              <w:end w:val="single" w:sz="12" w:space="0" w:color="000000"/>
            </w:tcBorders>
          </w:tcPr>
          <w:p>
            <w:pPr>
              <w:pStyle w:val="Normal"/>
              <w:snapToGrid w:val="false"/>
              <w:jc w:val="center"/>
              <w:rPr>
                <w:b/>
                <w:sz w:val="28"/>
              </w:rPr>
            </w:pPr>
            <w:r>
              <w:rPr>
                <w:b/>
                <w:sz w:val="28"/>
              </w:rPr>
            </w:r>
          </w:p>
          <w:p>
            <w:pPr>
              <w:pStyle w:val="Normal"/>
              <w:jc w:val="center"/>
              <w:rPr>
                <w:b/>
                <w:sz w:val="36"/>
              </w:rPr>
            </w:pPr>
            <w:r>
              <w:rPr>
                <w:b/>
                <w:sz w:val="36"/>
              </w:rPr>
              <w:t>Bakersfield Area Power Projects</w:t>
            </w:r>
          </w:p>
          <w:p>
            <w:pPr>
              <w:pStyle w:val="Normal"/>
              <w:jc w:val="center"/>
              <w:rPr/>
            </w:pPr>
            <w:r>
              <w:rPr/>
            </w:r>
          </w:p>
        </w:tc>
      </w:tr>
      <w:tr>
        <w:trPr/>
        <w:tc>
          <w:tcPr>
            <w:tcW w:w="1998" w:type="dxa"/>
            <w:tcBorders>
              <w:start w:val="single" w:sz="12" w:space="0" w:color="000000"/>
            </w:tcBorders>
          </w:tcPr>
          <w:p>
            <w:pPr>
              <w:pStyle w:val="Normal"/>
              <w:snapToGrid w:val="false"/>
              <w:jc w:val="center"/>
              <w:rPr>
                <w:b/>
              </w:rPr>
            </w:pPr>
            <w:r>
              <w:rPr>
                <w:b/>
              </w:rPr>
            </w:r>
          </w:p>
          <w:p>
            <w:pPr>
              <w:pStyle w:val="Normal"/>
              <w:jc w:val="center"/>
              <w:rPr>
                <w:b/>
              </w:rPr>
            </w:pPr>
            <w:r>
              <w:rPr>
                <w:b/>
              </w:rPr>
              <w:t>Description/</w:t>
            </w:r>
          </w:p>
          <w:p>
            <w:pPr>
              <w:pStyle w:val="Normal"/>
              <w:jc w:val="center"/>
              <w:rPr>
                <w:b/>
              </w:rPr>
            </w:pPr>
            <w:r>
              <w:rPr>
                <w:b/>
                <w:u w:val="single"/>
              </w:rPr>
              <w:t>Sponsor</w:t>
            </w:r>
          </w:p>
        </w:tc>
        <w:tc>
          <w:tcPr>
            <w:tcW w:w="1387" w:type="dxa"/>
            <w:tcBorders/>
          </w:tcPr>
          <w:p>
            <w:pPr>
              <w:pStyle w:val="Normal"/>
              <w:jc w:val="center"/>
              <w:rPr>
                <w:b/>
              </w:rPr>
            </w:pPr>
            <w:r>
              <w:rPr>
                <w:b/>
              </w:rPr>
              <w:t>Location/</w:t>
            </w:r>
          </w:p>
          <w:p>
            <w:pPr>
              <w:pStyle w:val="Normal"/>
              <w:jc w:val="center"/>
              <w:rPr>
                <w:b/>
              </w:rPr>
            </w:pPr>
            <w:r>
              <w:rPr>
                <w:b/>
              </w:rPr>
              <w:t>Service</w:t>
            </w:r>
          </w:p>
          <w:p>
            <w:pPr>
              <w:pStyle w:val="Normal"/>
              <w:jc w:val="center"/>
              <w:rPr>
                <w:b/>
                <w:u w:val="single"/>
              </w:rPr>
            </w:pPr>
            <w:r>
              <w:rPr>
                <w:b/>
                <w:u w:val="single"/>
              </w:rPr>
              <w:t>Territory</w:t>
            </w:r>
          </w:p>
        </w:tc>
        <w:tc>
          <w:tcPr>
            <w:tcW w:w="1371" w:type="dxa"/>
            <w:tcBorders/>
          </w:tcPr>
          <w:p>
            <w:pPr>
              <w:pStyle w:val="Normal"/>
              <w:snapToGrid w:val="false"/>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t>Status</w:t>
            </w:r>
          </w:p>
        </w:tc>
        <w:tc>
          <w:tcPr>
            <w:tcW w:w="1371" w:type="dxa"/>
            <w:tcBorders/>
          </w:tcPr>
          <w:p>
            <w:pPr>
              <w:pStyle w:val="Normal"/>
              <w:snapToGrid w:val="false"/>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t>Megawatts</w:t>
            </w:r>
          </w:p>
        </w:tc>
        <w:tc>
          <w:tcPr>
            <w:tcW w:w="1631" w:type="dxa"/>
            <w:tcBorders/>
          </w:tcPr>
          <w:p>
            <w:pPr>
              <w:pStyle w:val="Normal"/>
              <w:jc w:val="center"/>
              <w:rPr>
                <w:b/>
              </w:rPr>
            </w:pPr>
            <w:r>
              <w:rPr>
                <w:b/>
              </w:rPr>
              <w:t>Approx.</w:t>
            </w:r>
          </w:p>
          <w:p>
            <w:pPr>
              <w:pStyle w:val="Normal"/>
              <w:jc w:val="center"/>
              <w:rPr>
                <w:b/>
                <w:u w:val="single"/>
              </w:rPr>
            </w:pPr>
            <w:r>
              <w:rPr>
                <w:b/>
              </w:rPr>
              <w:t>Mdth/day:</w:t>
            </w:r>
          </w:p>
          <w:p>
            <w:pPr>
              <w:pStyle w:val="Normal"/>
              <w:jc w:val="center"/>
              <w:rPr>
                <w:b/>
              </w:rPr>
            </w:pPr>
            <w:r>
              <w:rPr>
                <w:b/>
                <w:u w:val="single"/>
              </w:rPr>
              <w:t>Supplier</w:t>
            </w:r>
          </w:p>
        </w:tc>
        <w:tc>
          <w:tcPr>
            <w:tcW w:w="360" w:type="dxa"/>
            <w:tcBorders>
              <w:end w:val="single" w:sz="12" w:space="0" w:color="000000"/>
            </w:tcBorders>
          </w:tcPr>
          <w:p>
            <w:pPr>
              <w:pStyle w:val="Normal"/>
              <w:snapToGrid w:val="false"/>
              <w:rPr>
                <w:b/>
              </w:rPr>
            </w:pPr>
            <w:r>
              <w:rPr>
                <w:b/>
              </w:rPr>
            </w:r>
          </w:p>
        </w:tc>
      </w:tr>
      <w:tr>
        <w:trPr/>
        <w:tc>
          <w:tcPr>
            <w:tcW w:w="1998" w:type="dxa"/>
            <w:tcBorders>
              <w:start w:val="single" w:sz="12" w:space="0" w:color="000000"/>
            </w:tcBorders>
          </w:tcPr>
          <w:p>
            <w:pPr>
              <w:pStyle w:val="Normal"/>
              <w:snapToGrid w:val="false"/>
              <w:jc w:val="center"/>
              <w:rPr>
                <w:b/>
              </w:rPr>
            </w:pPr>
            <w:r>
              <w:rPr>
                <w:b/>
              </w:rPr>
            </w:r>
          </w:p>
          <w:p>
            <w:pPr>
              <w:pStyle w:val="Normal"/>
              <w:jc w:val="center"/>
              <w:rPr>
                <w:b/>
                <w:u w:val="single"/>
              </w:rPr>
            </w:pPr>
            <w:r>
              <w:rPr>
                <w:b/>
                <w:u w:val="single"/>
              </w:rPr>
              <w:t xml:space="preserve">McKittrick Area           </w:t>
            </w:r>
          </w:p>
        </w:tc>
        <w:tc>
          <w:tcPr>
            <w:tcW w:w="1387" w:type="dxa"/>
            <w:tcBorders/>
          </w:tcPr>
          <w:p>
            <w:pPr>
              <w:pStyle w:val="Normal"/>
              <w:snapToGrid w:val="false"/>
              <w:jc w:val="center"/>
              <w:rPr/>
            </w:pPr>
            <w:r>
              <w:rPr/>
            </w:r>
          </w:p>
        </w:tc>
        <w:tc>
          <w:tcPr>
            <w:tcW w:w="1371" w:type="dxa"/>
            <w:tcBorders/>
          </w:tcPr>
          <w:p>
            <w:pPr>
              <w:pStyle w:val="Normal"/>
              <w:snapToGrid w:val="false"/>
              <w:jc w:val="center"/>
              <w:rPr/>
            </w:pPr>
            <w:r>
              <w:rPr/>
            </w:r>
          </w:p>
        </w:tc>
        <w:tc>
          <w:tcPr>
            <w:tcW w:w="1371" w:type="dxa"/>
            <w:tcBorders/>
          </w:tcPr>
          <w:p>
            <w:pPr>
              <w:pStyle w:val="Normal"/>
              <w:snapToGrid w:val="false"/>
              <w:jc w:val="center"/>
              <w:rPr/>
            </w:pPr>
            <w:r>
              <w:rPr/>
            </w:r>
          </w:p>
        </w:tc>
        <w:tc>
          <w:tcPr>
            <w:tcW w:w="1631" w:type="dxa"/>
            <w:tcBorders/>
          </w:tcPr>
          <w:p>
            <w:pPr>
              <w:pStyle w:val="Normal"/>
              <w:snapToGrid w:val="false"/>
              <w:jc w:val="center"/>
              <w:rPr/>
            </w:pPr>
            <w:r>
              <w:rPr/>
            </w:r>
          </w:p>
        </w:tc>
        <w:tc>
          <w:tcPr>
            <w:tcW w:w="360" w:type="dxa"/>
            <w:tcBorders>
              <w:end w:val="single" w:sz="12" w:space="0" w:color="000000"/>
            </w:tcBorders>
          </w:tcPr>
          <w:p>
            <w:pPr>
              <w:pStyle w:val="Normal"/>
              <w:snapToGrid w:val="false"/>
              <w:jc w:val="center"/>
              <w:rPr/>
            </w:pPr>
            <w:r>
              <w:rPr/>
            </w:r>
          </w:p>
        </w:tc>
      </w:tr>
      <w:tr>
        <w:trPr/>
        <w:tc>
          <w:tcPr>
            <w:tcW w:w="1998" w:type="dxa"/>
            <w:tcBorders>
              <w:start w:val="single" w:sz="12" w:space="0" w:color="000000"/>
            </w:tcBorders>
          </w:tcPr>
          <w:p>
            <w:pPr>
              <w:pStyle w:val="Normal"/>
              <w:rPr/>
            </w:pPr>
            <w:r>
              <w:rPr>
                <w:b/>
              </w:rPr>
              <w:t>La Paloma</w:t>
            </w:r>
            <w:r>
              <w:rPr/>
              <w:t>/</w:t>
            </w:r>
          </w:p>
          <w:p>
            <w:pPr>
              <w:pStyle w:val="Normal"/>
              <w:jc w:val="center"/>
              <w:rPr/>
            </w:pPr>
            <w:r>
              <w:rPr/>
              <w:t xml:space="preserve"> </w:t>
            </w:r>
            <w:r>
              <w:rPr/>
              <w:t>PG&amp;E NEG</w:t>
            </w:r>
          </w:p>
        </w:tc>
        <w:tc>
          <w:tcPr>
            <w:tcW w:w="1387" w:type="dxa"/>
            <w:tcBorders/>
          </w:tcPr>
          <w:p>
            <w:pPr>
              <w:pStyle w:val="Normal"/>
              <w:jc w:val="center"/>
              <w:rPr/>
            </w:pPr>
            <w:r>
              <w:rPr/>
              <w:t>McKittrick/</w:t>
            </w:r>
          </w:p>
          <w:p>
            <w:pPr>
              <w:pStyle w:val="Normal"/>
              <w:jc w:val="center"/>
              <w:rPr/>
            </w:pPr>
            <w:r>
              <w:rPr/>
              <w:t>SoCalGas</w:t>
            </w:r>
          </w:p>
        </w:tc>
        <w:tc>
          <w:tcPr>
            <w:tcW w:w="1371" w:type="dxa"/>
            <w:tcBorders/>
          </w:tcPr>
          <w:p>
            <w:pPr>
              <w:pStyle w:val="Normal"/>
              <w:jc w:val="center"/>
              <w:rPr/>
            </w:pPr>
            <w:r>
              <w:rPr/>
              <w:t>Approved</w:t>
            </w:r>
          </w:p>
        </w:tc>
        <w:tc>
          <w:tcPr>
            <w:tcW w:w="1371" w:type="dxa"/>
            <w:tcBorders/>
          </w:tcPr>
          <w:p>
            <w:pPr>
              <w:pStyle w:val="Normal"/>
              <w:jc w:val="center"/>
              <w:rPr/>
            </w:pPr>
            <w:r>
              <w:rPr/>
              <w:t>1048</w:t>
            </w:r>
          </w:p>
        </w:tc>
        <w:tc>
          <w:tcPr>
            <w:tcW w:w="1631" w:type="dxa"/>
            <w:tcBorders/>
          </w:tcPr>
          <w:p>
            <w:pPr>
              <w:pStyle w:val="Normal"/>
              <w:jc w:val="center"/>
              <w:rPr/>
            </w:pPr>
            <w:r>
              <w:rPr/>
              <w:t>160</w:t>
            </w:r>
          </w:p>
          <w:p>
            <w:pPr>
              <w:pStyle w:val="Normal"/>
              <w:jc w:val="center"/>
              <w:rPr/>
            </w:pPr>
            <w:r>
              <w:rPr/>
              <w:t>Kern/Mojave</w:t>
            </w:r>
          </w:p>
        </w:tc>
        <w:tc>
          <w:tcPr>
            <w:tcW w:w="360" w:type="dxa"/>
            <w:tcBorders>
              <w:end w:val="single" w:sz="12" w:space="0" w:color="000000"/>
            </w:tcBorders>
          </w:tcPr>
          <w:p>
            <w:pPr>
              <w:pStyle w:val="Normal"/>
              <w:snapToGrid w:val="false"/>
              <w:jc w:val="center"/>
              <w:rPr/>
            </w:pPr>
            <w:r>
              <w:rPr/>
            </w:r>
          </w:p>
          <w:p>
            <w:pPr>
              <w:pStyle w:val="Normal"/>
              <w:jc w:val="center"/>
              <w:rPr/>
            </w:pPr>
            <w:r>
              <w:rPr/>
            </w:r>
          </w:p>
          <w:p>
            <w:pPr>
              <w:pStyle w:val="Normal"/>
              <w:jc w:val="center"/>
              <w:rPr/>
            </w:pPr>
            <w:r>
              <w:rPr/>
            </w:r>
          </w:p>
        </w:tc>
      </w:tr>
      <w:tr>
        <w:trPr/>
        <w:tc>
          <w:tcPr>
            <w:tcW w:w="1998" w:type="dxa"/>
            <w:tcBorders>
              <w:start w:val="single" w:sz="12" w:space="0" w:color="000000"/>
            </w:tcBorders>
          </w:tcPr>
          <w:p>
            <w:pPr>
              <w:pStyle w:val="Normal"/>
              <w:rPr/>
            </w:pPr>
            <w:r>
              <w:rPr>
                <w:b/>
              </w:rPr>
              <w:t>Sunrise</w:t>
            </w:r>
            <w:r>
              <w:rPr/>
              <w:t>/</w:t>
            </w:r>
          </w:p>
          <w:p>
            <w:pPr>
              <w:pStyle w:val="Normal"/>
              <w:jc w:val="center"/>
              <w:rPr/>
            </w:pPr>
            <w:r>
              <w:rPr/>
              <w:t xml:space="preserve">Texaco Global </w:t>
            </w:r>
          </w:p>
        </w:tc>
        <w:tc>
          <w:tcPr>
            <w:tcW w:w="1387" w:type="dxa"/>
            <w:tcBorders/>
          </w:tcPr>
          <w:p>
            <w:pPr>
              <w:pStyle w:val="Normal"/>
              <w:jc w:val="center"/>
              <w:rPr/>
            </w:pPr>
            <w:r>
              <w:rPr/>
              <w:t>Fellows/</w:t>
            </w:r>
          </w:p>
          <w:p>
            <w:pPr>
              <w:pStyle w:val="Normal"/>
              <w:jc w:val="center"/>
              <w:rPr/>
            </w:pPr>
            <w:r>
              <w:rPr/>
              <w:t>SoCalGas</w:t>
            </w:r>
          </w:p>
        </w:tc>
        <w:tc>
          <w:tcPr>
            <w:tcW w:w="1371" w:type="dxa"/>
            <w:tcBorders/>
          </w:tcPr>
          <w:p>
            <w:pPr>
              <w:pStyle w:val="Normal"/>
              <w:jc w:val="center"/>
              <w:rPr/>
            </w:pPr>
            <w:r>
              <w:rPr/>
              <w:t>Approved</w:t>
            </w:r>
          </w:p>
        </w:tc>
        <w:tc>
          <w:tcPr>
            <w:tcW w:w="1371" w:type="dxa"/>
            <w:tcBorders/>
          </w:tcPr>
          <w:p>
            <w:pPr>
              <w:pStyle w:val="Normal"/>
              <w:jc w:val="center"/>
              <w:rPr/>
            </w:pPr>
            <w:r>
              <w:rPr/>
              <w:t>300</w:t>
            </w:r>
          </w:p>
        </w:tc>
        <w:tc>
          <w:tcPr>
            <w:tcW w:w="1631" w:type="dxa"/>
            <w:tcBorders/>
          </w:tcPr>
          <w:p>
            <w:pPr>
              <w:pStyle w:val="Normal"/>
              <w:jc w:val="center"/>
              <w:rPr/>
            </w:pPr>
            <w:r>
              <w:rPr/>
              <w:t>50</w:t>
            </w:r>
          </w:p>
          <w:p>
            <w:pPr>
              <w:pStyle w:val="Normal"/>
              <w:jc w:val="center"/>
              <w:rPr/>
            </w:pPr>
            <w:r>
              <w:rPr/>
              <w:t>Kern/Mojave</w:t>
            </w:r>
          </w:p>
        </w:tc>
        <w:tc>
          <w:tcPr>
            <w:tcW w:w="360" w:type="dxa"/>
            <w:tcBorders>
              <w:end w:val="single" w:sz="12" w:space="0" w:color="000000"/>
            </w:tcBorders>
          </w:tcPr>
          <w:p>
            <w:pPr>
              <w:pStyle w:val="Normal"/>
              <w:snapToGrid w:val="false"/>
              <w:jc w:val="center"/>
              <w:rPr/>
            </w:pPr>
            <w:r>
              <w:rPr/>
            </w:r>
          </w:p>
          <w:p>
            <w:pPr>
              <w:pStyle w:val="Normal"/>
              <w:jc w:val="center"/>
              <w:rPr/>
            </w:pPr>
            <w:r>
              <w:rPr/>
            </w:r>
          </w:p>
        </w:tc>
      </w:tr>
      <w:tr>
        <w:trPr/>
        <w:tc>
          <w:tcPr>
            <w:tcW w:w="1998" w:type="dxa"/>
            <w:tcBorders>
              <w:start w:val="single" w:sz="12" w:space="0" w:color="000000"/>
            </w:tcBorders>
          </w:tcPr>
          <w:p>
            <w:pPr>
              <w:pStyle w:val="Normal"/>
              <w:ind w:end="-198"/>
              <w:rPr/>
            </w:pPr>
            <w:r>
              <w:rPr>
                <w:b/>
              </w:rPr>
              <w:t>Elk Hills</w:t>
            </w:r>
            <w:r>
              <w:rPr/>
              <w:t>/</w:t>
            </w:r>
          </w:p>
          <w:p>
            <w:pPr>
              <w:pStyle w:val="Normal"/>
              <w:jc w:val="center"/>
              <w:rPr/>
            </w:pPr>
            <w:r>
              <w:rPr/>
              <w:t>Sempra &amp; Occidental</w:t>
            </w:r>
          </w:p>
        </w:tc>
        <w:tc>
          <w:tcPr>
            <w:tcW w:w="1387" w:type="dxa"/>
            <w:tcBorders/>
          </w:tcPr>
          <w:p>
            <w:pPr>
              <w:pStyle w:val="Normal"/>
              <w:jc w:val="center"/>
              <w:rPr/>
            </w:pPr>
            <w:r>
              <w:rPr/>
              <w:t>McKittrick/</w:t>
            </w:r>
          </w:p>
          <w:p>
            <w:pPr>
              <w:pStyle w:val="Normal"/>
              <w:jc w:val="center"/>
              <w:rPr/>
            </w:pPr>
            <w:r>
              <w:rPr/>
              <w:t>SoCalGas</w:t>
            </w:r>
          </w:p>
        </w:tc>
        <w:tc>
          <w:tcPr>
            <w:tcW w:w="1371" w:type="dxa"/>
            <w:tcBorders/>
          </w:tcPr>
          <w:p>
            <w:pPr>
              <w:pStyle w:val="Normal"/>
              <w:jc w:val="center"/>
              <w:rPr/>
            </w:pPr>
            <w:r>
              <w:rPr/>
              <w:t>Approved</w:t>
            </w:r>
          </w:p>
        </w:tc>
        <w:tc>
          <w:tcPr>
            <w:tcW w:w="1371" w:type="dxa"/>
            <w:tcBorders/>
          </w:tcPr>
          <w:p>
            <w:pPr>
              <w:pStyle w:val="Normal"/>
              <w:jc w:val="center"/>
              <w:rPr/>
            </w:pPr>
            <w:r>
              <w:rPr/>
              <w:t>500</w:t>
            </w:r>
          </w:p>
        </w:tc>
        <w:tc>
          <w:tcPr>
            <w:tcW w:w="1631" w:type="dxa"/>
            <w:tcBorders/>
          </w:tcPr>
          <w:p>
            <w:pPr>
              <w:pStyle w:val="Normal"/>
              <w:jc w:val="center"/>
              <w:rPr/>
            </w:pPr>
            <w:r>
              <w:rPr/>
              <w:t>80</w:t>
            </w:r>
          </w:p>
          <w:p>
            <w:pPr>
              <w:pStyle w:val="Normal"/>
              <w:jc w:val="center"/>
              <w:rPr/>
            </w:pPr>
            <w:r>
              <w:rPr/>
              <w:t>Kern/Mojave</w:t>
            </w:r>
          </w:p>
          <w:p>
            <w:pPr>
              <w:pStyle w:val="Normal"/>
              <w:jc w:val="center"/>
              <w:rPr/>
            </w:pPr>
            <w:r>
              <w:rPr/>
            </w:r>
          </w:p>
        </w:tc>
        <w:tc>
          <w:tcPr>
            <w:tcW w:w="360" w:type="dxa"/>
            <w:tcBorders>
              <w:end w:val="single" w:sz="12" w:space="0" w:color="000000"/>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tc>
      </w:tr>
      <w:tr>
        <w:trPr/>
        <w:tc>
          <w:tcPr>
            <w:tcW w:w="1998" w:type="dxa"/>
            <w:tcBorders>
              <w:start w:val="single" w:sz="12" w:space="0" w:color="000000"/>
            </w:tcBorders>
          </w:tcPr>
          <w:p>
            <w:pPr>
              <w:pStyle w:val="Normal"/>
              <w:rPr>
                <w:b/>
              </w:rPr>
            </w:pPr>
            <w:r>
              <w:rPr>
                <w:b/>
              </w:rPr>
              <w:t>Sunset/</w:t>
            </w:r>
          </w:p>
          <w:p>
            <w:pPr>
              <w:pStyle w:val="Normal"/>
              <w:jc w:val="center"/>
              <w:rPr/>
            </w:pPr>
            <w:r>
              <w:rPr/>
              <w:t>Mission Energy</w:t>
            </w:r>
          </w:p>
          <w:p>
            <w:pPr>
              <w:pStyle w:val="Normal"/>
              <w:jc w:val="center"/>
              <w:rPr/>
            </w:pPr>
            <w:r>
              <w:rPr/>
            </w:r>
          </w:p>
          <w:p>
            <w:pPr>
              <w:pStyle w:val="Normal"/>
              <w:jc w:val="end"/>
              <w:rPr>
                <w:b/>
              </w:rPr>
            </w:pPr>
            <w:r>
              <w:rPr>
                <w:b/>
              </w:rPr>
              <w:t>Subtotal</w:t>
            </w:r>
          </w:p>
          <w:p>
            <w:pPr>
              <w:pStyle w:val="Normal"/>
              <w:jc w:val="center"/>
              <w:rPr/>
            </w:pPr>
            <w:r>
              <w:rPr/>
            </w:r>
          </w:p>
          <w:p>
            <w:pPr>
              <w:pStyle w:val="Normal"/>
              <w:rPr>
                <w:b/>
                <w:u w:val="single"/>
              </w:rPr>
            </w:pPr>
            <w:r>
              <w:rPr>
                <w:b/>
                <w:u w:val="single"/>
              </w:rPr>
              <w:t>Others</w:t>
            </w:r>
          </w:p>
        </w:tc>
        <w:tc>
          <w:tcPr>
            <w:tcW w:w="1387" w:type="dxa"/>
            <w:tcBorders/>
          </w:tcPr>
          <w:p>
            <w:pPr>
              <w:pStyle w:val="Normal"/>
              <w:jc w:val="center"/>
              <w:rPr/>
            </w:pPr>
            <w:r>
              <w:rPr/>
              <w:t>Fellows/</w:t>
            </w:r>
          </w:p>
          <w:p>
            <w:pPr>
              <w:pStyle w:val="Normal"/>
              <w:jc w:val="center"/>
              <w:rPr/>
            </w:pPr>
            <w:r>
              <w:rPr/>
              <w:t>SoCalGas</w:t>
            </w:r>
          </w:p>
        </w:tc>
        <w:tc>
          <w:tcPr>
            <w:tcW w:w="1371" w:type="dxa"/>
            <w:tcBorders/>
          </w:tcPr>
          <w:p>
            <w:pPr>
              <w:pStyle w:val="Normal"/>
              <w:jc w:val="center"/>
              <w:rPr/>
            </w:pPr>
            <w:r>
              <w:rPr/>
              <w:t>Approved</w:t>
            </w:r>
          </w:p>
        </w:tc>
        <w:tc>
          <w:tcPr>
            <w:tcW w:w="1371" w:type="dxa"/>
            <w:tcBorders/>
          </w:tcPr>
          <w:p>
            <w:pPr>
              <w:pStyle w:val="Normal"/>
              <w:jc w:val="center"/>
              <w:rPr/>
            </w:pPr>
            <w:r>
              <w:rPr/>
              <w:t>500</w:t>
            </w:r>
          </w:p>
          <w:p>
            <w:pPr>
              <w:pStyle w:val="Normal"/>
              <w:jc w:val="center"/>
              <w:rPr/>
            </w:pPr>
            <w:r>
              <w:rPr/>
              <w:t xml:space="preserve">   </w:t>
            </w:r>
          </w:p>
          <w:p>
            <w:pPr>
              <w:pStyle w:val="Normal"/>
              <w:jc w:val="center"/>
              <w:rPr/>
            </w:pPr>
            <w:r>
              <w:rPr/>
            </w:r>
          </w:p>
          <w:p>
            <w:pPr>
              <w:pStyle w:val="Normal"/>
              <w:pBdr>
                <w:top w:val="single" w:sz="6" w:space="1" w:color="000000"/>
                <w:bottom w:val="single" w:sz="6" w:space="1" w:color="000000"/>
              </w:pBdr>
              <w:jc w:val="center"/>
              <w:rPr>
                <w:b/>
              </w:rPr>
            </w:pPr>
            <w:r>
              <w:rPr>
                <w:b/>
              </w:rPr>
              <w:t>2,348</w:t>
            </w:r>
          </w:p>
          <w:p>
            <w:pPr>
              <w:pStyle w:val="Normal"/>
              <w:jc w:val="center"/>
              <w:rPr/>
            </w:pPr>
            <w:r>
              <w:rPr/>
            </w:r>
          </w:p>
        </w:tc>
        <w:tc>
          <w:tcPr>
            <w:tcW w:w="1631" w:type="dxa"/>
            <w:tcBorders/>
          </w:tcPr>
          <w:p>
            <w:pPr>
              <w:pStyle w:val="Normal"/>
              <w:jc w:val="center"/>
              <w:rPr/>
            </w:pPr>
            <w:r>
              <w:rPr/>
              <w:t>80</w:t>
            </w:r>
          </w:p>
          <w:p>
            <w:pPr>
              <w:pStyle w:val="Normal"/>
              <w:jc w:val="center"/>
              <w:rPr/>
            </w:pPr>
            <w:r>
              <w:rPr/>
              <w:t>Kern/Mojave</w:t>
            </w:r>
          </w:p>
          <w:p>
            <w:pPr>
              <w:pStyle w:val="Normal"/>
              <w:jc w:val="center"/>
              <w:rPr/>
            </w:pPr>
            <w:r>
              <w:rPr/>
            </w:r>
          </w:p>
          <w:p>
            <w:pPr>
              <w:pStyle w:val="Normal"/>
              <w:pBdr>
                <w:top w:val="single" w:sz="6" w:space="1" w:color="000000"/>
                <w:bottom w:val="single" w:sz="6" w:space="1" w:color="000000"/>
              </w:pBdr>
              <w:jc w:val="center"/>
              <w:rPr>
                <w:b/>
              </w:rPr>
            </w:pPr>
            <w:r>
              <w:rPr>
                <w:b/>
              </w:rPr>
              <w:t>370</w:t>
            </w:r>
          </w:p>
          <w:p>
            <w:pPr>
              <w:pStyle w:val="Normal"/>
              <w:jc w:val="center"/>
              <w:rPr>
                <w:b/>
              </w:rPr>
            </w:pPr>
            <w:r>
              <w:rPr>
                <w:b/>
              </w:rPr>
            </w:r>
          </w:p>
        </w:tc>
        <w:tc>
          <w:tcPr>
            <w:tcW w:w="360" w:type="dxa"/>
            <w:tcBorders>
              <w:end w:val="single" w:sz="12" w:space="0" w:color="000000"/>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c>
      </w:tr>
      <w:tr>
        <w:trPr/>
        <w:tc>
          <w:tcPr>
            <w:tcW w:w="1998" w:type="dxa"/>
            <w:tcBorders>
              <w:start w:val="single" w:sz="12" w:space="0" w:color="000000"/>
            </w:tcBorders>
          </w:tcPr>
          <w:p>
            <w:pPr>
              <w:pStyle w:val="Normal"/>
              <w:rPr>
                <w:b/>
              </w:rPr>
            </w:pPr>
            <w:r>
              <w:rPr>
                <w:b/>
              </w:rPr>
              <w:t>High Desert/</w:t>
            </w:r>
          </w:p>
          <w:p>
            <w:pPr>
              <w:pStyle w:val="Normal"/>
              <w:jc w:val="center"/>
              <w:rPr/>
            </w:pPr>
            <w:r>
              <w:rPr/>
              <w:t>Inland Energy &amp; Constellation Power</w:t>
            </w:r>
          </w:p>
        </w:tc>
        <w:tc>
          <w:tcPr>
            <w:tcW w:w="1387" w:type="dxa"/>
            <w:tcBorders/>
          </w:tcPr>
          <w:p>
            <w:pPr>
              <w:pStyle w:val="Normal"/>
              <w:jc w:val="center"/>
              <w:rPr/>
            </w:pPr>
            <w:r>
              <w:rPr/>
              <w:t>Victorville/</w:t>
            </w:r>
          </w:p>
          <w:p>
            <w:pPr>
              <w:pStyle w:val="Normal"/>
              <w:jc w:val="center"/>
              <w:rPr/>
            </w:pPr>
            <w:r>
              <w:rPr/>
              <w:t>S.W.Gas</w:t>
            </w:r>
          </w:p>
        </w:tc>
        <w:tc>
          <w:tcPr>
            <w:tcW w:w="1371" w:type="dxa"/>
            <w:tcBorders/>
          </w:tcPr>
          <w:p>
            <w:pPr>
              <w:pStyle w:val="Normal"/>
              <w:jc w:val="center"/>
              <w:rPr/>
            </w:pPr>
            <w:r>
              <w:rPr/>
              <w:t>Approved</w:t>
            </w:r>
          </w:p>
        </w:tc>
        <w:tc>
          <w:tcPr>
            <w:tcW w:w="1371" w:type="dxa"/>
            <w:tcBorders/>
          </w:tcPr>
          <w:p>
            <w:pPr>
              <w:pStyle w:val="Normal"/>
              <w:jc w:val="center"/>
              <w:rPr/>
            </w:pPr>
            <w:r>
              <w:rPr/>
              <w:t>720</w:t>
            </w:r>
          </w:p>
        </w:tc>
        <w:tc>
          <w:tcPr>
            <w:tcW w:w="1631" w:type="dxa"/>
            <w:tcBorders/>
          </w:tcPr>
          <w:p>
            <w:pPr>
              <w:pStyle w:val="Normal"/>
              <w:jc w:val="center"/>
              <w:rPr/>
            </w:pPr>
            <w:r>
              <w:rPr/>
              <w:t>130</w:t>
            </w:r>
          </w:p>
          <w:p>
            <w:pPr>
              <w:pStyle w:val="Normal"/>
              <w:jc w:val="center"/>
              <w:rPr/>
            </w:pPr>
            <w:r>
              <w:rPr/>
              <w:t xml:space="preserve">SoCalGas, Kern/Mojave, or PG&amp;E </w:t>
            </w:r>
          </w:p>
        </w:tc>
        <w:tc>
          <w:tcPr>
            <w:tcW w:w="360" w:type="dxa"/>
            <w:tcBorders>
              <w:end w:val="single" w:sz="12" w:space="0" w:color="000000"/>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tc>
      </w:tr>
      <w:tr>
        <w:trPr/>
        <w:tc>
          <w:tcPr>
            <w:tcW w:w="1998" w:type="dxa"/>
            <w:tcBorders>
              <w:start w:val="single" w:sz="12" w:space="0" w:color="000000"/>
            </w:tcBorders>
          </w:tcPr>
          <w:p>
            <w:pPr>
              <w:pStyle w:val="Normal"/>
              <w:rPr>
                <w:b/>
              </w:rPr>
            </w:pPr>
            <w:r>
              <w:rPr>
                <w:b/>
              </w:rPr>
              <w:t>Antelope Valley/</w:t>
            </w:r>
          </w:p>
          <w:p>
            <w:pPr>
              <w:pStyle w:val="Normal"/>
              <w:jc w:val="center"/>
              <w:rPr/>
            </w:pPr>
            <w:r>
              <w:rPr/>
              <w:t>Enron</w:t>
            </w:r>
          </w:p>
        </w:tc>
        <w:tc>
          <w:tcPr>
            <w:tcW w:w="1387" w:type="dxa"/>
            <w:tcBorders/>
          </w:tcPr>
          <w:p>
            <w:pPr>
              <w:pStyle w:val="Normal"/>
              <w:jc w:val="center"/>
              <w:rPr/>
            </w:pPr>
            <w:r>
              <w:rPr/>
              <w:t>California City/</w:t>
            </w:r>
          </w:p>
          <w:p>
            <w:pPr>
              <w:pStyle w:val="Normal"/>
              <w:jc w:val="center"/>
              <w:rPr/>
            </w:pPr>
            <w:r>
              <w:rPr/>
              <w:t>Open</w:t>
            </w:r>
          </w:p>
        </w:tc>
        <w:tc>
          <w:tcPr>
            <w:tcW w:w="1371" w:type="dxa"/>
            <w:tcBorders/>
          </w:tcPr>
          <w:p>
            <w:pPr>
              <w:pStyle w:val="Normal"/>
              <w:jc w:val="center"/>
              <w:rPr/>
            </w:pPr>
            <w:r>
              <w:rPr/>
              <w:t>Expected</w:t>
            </w:r>
          </w:p>
        </w:tc>
        <w:tc>
          <w:tcPr>
            <w:tcW w:w="1371" w:type="dxa"/>
            <w:tcBorders/>
          </w:tcPr>
          <w:p>
            <w:pPr>
              <w:pStyle w:val="Normal"/>
              <w:jc w:val="center"/>
              <w:rPr/>
            </w:pPr>
            <w:r>
              <w:rPr/>
              <w:t>1,000</w:t>
            </w:r>
          </w:p>
        </w:tc>
        <w:tc>
          <w:tcPr>
            <w:tcW w:w="1631" w:type="dxa"/>
            <w:tcBorders/>
          </w:tcPr>
          <w:p>
            <w:pPr>
              <w:pStyle w:val="Normal"/>
              <w:jc w:val="center"/>
              <w:rPr/>
            </w:pPr>
            <w:r>
              <w:rPr/>
              <w:t>180</w:t>
            </w:r>
          </w:p>
          <w:p>
            <w:pPr>
              <w:pStyle w:val="Normal"/>
              <w:jc w:val="center"/>
              <w:rPr/>
            </w:pPr>
            <w:r>
              <w:rPr/>
              <w:t>Kern/Mojave</w:t>
            </w:r>
          </w:p>
        </w:tc>
        <w:tc>
          <w:tcPr>
            <w:tcW w:w="360" w:type="dxa"/>
            <w:tcBorders>
              <w:end w:val="single" w:sz="12" w:space="0" w:color="000000"/>
            </w:tcBorders>
          </w:tcPr>
          <w:p>
            <w:pPr>
              <w:pStyle w:val="Normal"/>
              <w:snapToGrid w:val="false"/>
              <w:jc w:val="center"/>
              <w:rPr/>
            </w:pPr>
            <w:r>
              <w:rPr/>
            </w:r>
          </w:p>
          <w:p>
            <w:pPr>
              <w:pStyle w:val="Normal"/>
              <w:jc w:val="center"/>
              <w:rPr/>
            </w:pPr>
            <w:r>
              <w:rPr/>
            </w:r>
          </w:p>
          <w:p>
            <w:pPr>
              <w:pStyle w:val="Normal"/>
              <w:jc w:val="center"/>
              <w:rPr/>
            </w:pPr>
            <w:r>
              <w:rPr/>
            </w:r>
          </w:p>
        </w:tc>
      </w:tr>
      <w:tr>
        <w:trPr/>
        <w:tc>
          <w:tcPr>
            <w:tcW w:w="1998" w:type="dxa"/>
            <w:tcBorders>
              <w:start w:val="single" w:sz="12" w:space="0" w:color="000000"/>
            </w:tcBorders>
          </w:tcPr>
          <w:p>
            <w:pPr>
              <w:pStyle w:val="Normal"/>
              <w:rPr>
                <w:b/>
              </w:rPr>
            </w:pPr>
            <w:r>
              <w:rPr>
                <w:b/>
              </w:rPr>
              <w:t>Pastoria/</w:t>
            </w:r>
          </w:p>
          <w:p>
            <w:pPr>
              <w:pStyle w:val="Normal"/>
              <w:jc w:val="center"/>
              <w:rPr/>
            </w:pPr>
            <w:r>
              <w:rPr/>
              <w:t>Calpine</w:t>
            </w:r>
          </w:p>
        </w:tc>
        <w:tc>
          <w:tcPr>
            <w:tcW w:w="1387" w:type="dxa"/>
            <w:tcBorders/>
          </w:tcPr>
          <w:p>
            <w:pPr>
              <w:pStyle w:val="Normal"/>
              <w:jc w:val="center"/>
              <w:rPr/>
            </w:pPr>
            <w:r>
              <w:rPr/>
              <w:t>Tejon Ranch/</w:t>
            </w:r>
          </w:p>
          <w:p>
            <w:pPr>
              <w:pStyle w:val="Normal"/>
              <w:jc w:val="center"/>
              <w:rPr/>
            </w:pPr>
            <w:r>
              <w:rPr/>
              <w:t>SoCalGas</w:t>
            </w:r>
          </w:p>
        </w:tc>
        <w:tc>
          <w:tcPr>
            <w:tcW w:w="1371" w:type="dxa"/>
            <w:tcBorders/>
          </w:tcPr>
          <w:p>
            <w:pPr>
              <w:pStyle w:val="Normal"/>
              <w:jc w:val="center"/>
              <w:rPr/>
            </w:pPr>
            <w:r>
              <w:rPr/>
              <w:t>Filed</w:t>
            </w:r>
          </w:p>
        </w:tc>
        <w:tc>
          <w:tcPr>
            <w:tcW w:w="1371" w:type="dxa"/>
            <w:tcBorders/>
          </w:tcPr>
          <w:p>
            <w:pPr>
              <w:pStyle w:val="Normal"/>
              <w:jc w:val="center"/>
              <w:rPr/>
            </w:pPr>
            <w:r>
              <w:rPr/>
              <w:t>750</w:t>
            </w:r>
          </w:p>
        </w:tc>
        <w:tc>
          <w:tcPr>
            <w:tcW w:w="1631" w:type="dxa"/>
            <w:tcBorders/>
          </w:tcPr>
          <w:p>
            <w:pPr>
              <w:pStyle w:val="Normal"/>
              <w:jc w:val="center"/>
              <w:rPr/>
            </w:pPr>
            <w:r>
              <w:rPr/>
              <w:t>130</w:t>
            </w:r>
          </w:p>
          <w:p>
            <w:pPr>
              <w:pStyle w:val="Normal"/>
              <w:jc w:val="center"/>
              <w:rPr/>
            </w:pPr>
            <w:r>
              <w:rPr/>
              <w:t>Kern/Mojave</w:t>
            </w:r>
          </w:p>
        </w:tc>
        <w:tc>
          <w:tcPr>
            <w:tcW w:w="360" w:type="dxa"/>
            <w:tcBorders>
              <w:end w:val="single" w:sz="12" w:space="0" w:color="000000"/>
            </w:tcBorders>
          </w:tcPr>
          <w:p>
            <w:pPr>
              <w:pStyle w:val="Normal"/>
              <w:snapToGrid w:val="false"/>
              <w:jc w:val="center"/>
              <w:rPr/>
            </w:pPr>
            <w:r>
              <w:rPr/>
            </w:r>
          </w:p>
        </w:tc>
      </w:tr>
      <w:tr>
        <w:trPr/>
        <w:tc>
          <w:tcPr>
            <w:tcW w:w="1998" w:type="dxa"/>
            <w:tcBorders>
              <w:start w:val="single" w:sz="12" w:space="0" w:color="000000"/>
            </w:tcBorders>
          </w:tcPr>
          <w:p>
            <w:pPr>
              <w:pStyle w:val="Normal"/>
              <w:snapToGrid w:val="false"/>
              <w:jc w:val="center"/>
              <w:rPr/>
            </w:pPr>
            <w:r>
              <w:rPr/>
            </w:r>
          </w:p>
          <w:p>
            <w:pPr>
              <w:pStyle w:val="Normal"/>
              <w:jc w:val="end"/>
              <w:rPr>
                <w:b/>
              </w:rPr>
            </w:pPr>
            <w:r>
              <w:rPr>
                <w:b/>
              </w:rPr>
              <w:t>Subtotal</w:t>
            </w:r>
          </w:p>
        </w:tc>
        <w:tc>
          <w:tcPr>
            <w:tcW w:w="1387" w:type="dxa"/>
            <w:tcBorders/>
          </w:tcPr>
          <w:p>
            <w:pPr>
              <w:pStyle w:val="Normal"/>
              <w:snapToGrid w:val="false"/>
              <w:jc w:val="center"/>
              <w:rPr/>
            </w:pPr>
            <w:r>
              <w:rPr/>
            </w:r>
          </w:p>
        </w:tc>
        <w:tc>
          <w:tcPr>
            <w:tcW w:w="1371" w:type="dxa"/>
            <w:tcBorders/>
          </w:tcPr>
          <w:p>
            <w:pPr>
              <w:pStyle w:val="Normal"/>
              <w:snapToGrid w:val="false"/>
              <w:jc w:val="center"/>
              <w:rPr/>
            </w:pPr>
            <w:r>
              <w:rPr/>
            </w:r>
          </w:p>
        </w:tc>
        <w:tc>
          <w:tcPr>
            <w:tcW w:w="1371" w:type="dxa"/>
            <w:tcBorders/>
          </w:tcPr>
          <w:p>
            <w:pPr>
              <w:pStyle w:val="Normal"/>
              <w:snapToGrid w:val="false"/>
              <w:jc w:val="center"/>
              <w:rPr>
                <w:b/>
              </w:rPr>
            </w:pPr>
            <w:r>
              <w:rPr>
                <w:b/>
              </w:rPr>
            </w:r>
          </w:p>
          <w:p>
            <w:pPr>
              <w:pStyle w:val="Normal"/>
              <w:pBdr>
                <w:top w:val="single" w:sz="6" w:space="1" w:color="000000"/>
                <w:bottom w:val="single" w:sz="6" w:space="1" w:color="000000"/>
              </w:pBdr>
              <w:jc w:val="center"/>
              <w:rPr>
                <w:b/>
              </w:rPr>
            </w:pPr>
            <w:r>
              <w:rPr>
                <w:b/>
              </w:rPr>
              <w:t>2,470</w:t>
            </w:r>
          </w:p>
          <w:p>
            <w:pPr>
              <w:pStyle w:val="Normal"/>
              <w:jc w:val="center"/>
              <w:rPr>
                <w:b/>
              </w:rPr>
            </w:pPr>
            <w:r>
              <w:rPr>
                <w:b/>
              </w:rPr>
            </w:r>
          </w:p>
        </w:tc>
        <w:tc>
          <w:tcPr>
            <w:tcW w:w="1631" w:type="dxa"/>
            <w:tcBorders/>
          </w:tcPr>
          <w:p>
            <w:pPr>
              <w:pStyle w:val="Normal"/>
              <w:snapToGrid w:val="false"/>
              <w:jc w:val="center"/>
              <w:rPr>
                <w:b/>
              </w:rPr>
            </w:pPr>
            <w:r>
              <w:rPr>
                <w:b/>
              </w:rPr>
            </w:r>
          </w:p>
          <w:p>
            <w:pPr>
              <w:pStyle w:val="Normal"/>
              <w:pBdr>
                <w:top w:val="single" w:sz="6" w:space="1" w:color="000000"/>
                <w:bottom w:val="single" w:sz="6" w:space="1" w:color="000000"/>
              </w:pBdr>
              <w:jc w:val="center"/>
              <w:rPr>
                <w:b/>
              </w:rPr>
            </w:pPr>
            <w:r>
              <w:rPr>
                <w:b/>
              </w:rPr>
              <w:t>440</w:t>
            </w:r>
          </w:p>
          <w:p>
            <w:pPr>
              <w:pStyle w:val="Normal"/>
              <w:jc w:val="center"/>
              <w:rPr>
                <w:b/>
              </w:rPr>
            </w:pPr>
            <w:r>
              <w:rPr>
                <w:b/>
              </w:rPr>
            </w:r>
          </w:p>
        </w:tc>
        <w:tc>
          <w:tcPr>
            <w:tcW w:w="360" w:type="dxa"/>
            <w:tcBorders>
              <w:end w:val="single" w:sz="12" w:space="0" w:color="000000"/>
            </w:tcBorders>
          </w:tcPr>
          <w:p>
            <w:pPr>
              <w:pStyle w:val="Normal"/>
              <w:snapToGrid w:val="false"/>
              <w:jc w:val="center"/>
              <w:rPr>
                <w:b/>
              </w:rPr>
            </w:pPr>
            <w:r>
              <w:rPr>
                <w:b/>
              </w:rPr>
            </w:r>
          </w:p>
        </w:tc>
      </w:tr>
      <w:tr>
        <w:trPr/>
        <w:tc>
          <w:tcPr>
            <w:tcW w:w="1998" w:type="dxa"/>
            <w:tcBorders>
              <w:start w:val="single" w:sz="12" w:space="0" w:color="000000"/>
              <w:bottom w:val="single" w:sz="12" w:space="0" w:color="000000"/>
            </w:tcBorders>
          </w:tcPr>
          <w:p>
            <w:pPr>
              <w:pStyle w:val="Normal"/>
              <w:snapToGrid w:val="false"/>
              <w:jc w:val="center"/>
              <w:rPr>
                <w:b/>
              </w:rPr>
            </w:pPr>
            <w:r>
              <w:rPr>
                <w:b/>
              </w:rPr>
            </w:r>
          </w:p>
        </w:tc>
        <w:tc>
          <w:tcPr>
            <w:tcW w:w="1387" w:type="dxa"/>
            <w:tcBorders>
              <w:bottom w:val="single" w:sz="12" w:space="0" w:color="000000"/>
            </w:tcBorders>
          </w:tcPr>
          <w:p>
            <w:pPr>
              <w:pStyle w:val="Normal"/>
              <w:snapToGrid w:val="false"/>
              <w:jc w:val="center"/>
              <w:rPr>
                <w:b/>
              </w:rPr>
            </w:pPr>
            <w:r>
              <w:rPr>
                <w:b/>
              </w:rPr>
            </w:r>
          </w:p>
        </w:tc>
        <w:tc>
          <w:tcPr>
            <w:tcW w:w="1371" w:type="dxa"/>
            <w:tcBorders>
              <w:bottom w:val="single" w:sz="12" w:space="0" w:color="000000"/>
            </w:tcBorders>
          </w:tcPr>
          <w:p>
            <w:pPr>
              <w:pStyle w:val="Normal"/>
              <w:snapToGrid w:val="false"/>
              <w:jc w:val="center"/>
              <w:rPr>
                <w:b/>
              </w:rPr>
            </w:pPr>
            <w:r>
              <w:rPr>
                <w:b/>
              </w:rPr>
            </w:r>
          </w:p>
        </w:tc>
        <w:tc>
          <w:tcPr>
            <w:tcW w:w="1371" w:type="dxa"/>
            <w:tcBorders>
              <w:bottom w:val="single" w:sz="12" w:space="0" w:color="000000"/>
            </w:tcBorders>
          </w:tcPr>
          <w:p>
            <w:pPr>
              <w:pStyle w:val="Normal"/>
              <w:snapToGrid w:val="false"/>
              <w:jc w:val="center"/>
              <w:rPr>
                <w:b/>
              </w:rPr>
            </w:pPr>
            <w:r>
              <w:rPr>
                <w:b/>
              </w:rPr>
            </w:r>
          </w:p>
        </w:tc>
        <w:tc>
          <w:tcPr>
            <w:tcW w:w="1631" w:type="dxa"/>
            <w:tcBorders>
              <w:bottom w:val="single" w:sz="12" w:space="0" w:color="000000"/>
            </w:tcBorders>
          </w:tcPr>
          <w:p>
            <w:pPr>
              <w:pStyle w:val="Normal"/>
              <w:snapToGrid w:val="false"/>
              <w:jc w:val="center"/>
              <w:rPr>
                <w:b/>
              </w:rPr>
            </w:pPr>
            <w:r>
              <w:rPr>
                <w:b/>
              </w:rPr>
            </w:r>
          </w:p>
        </w:tc>
        <w:tc>
          <w:tcPr>
            <w:tcW w:w="360" w:type="dxa"/>
            <w:tcBorders>
              <w:bottom w:val="single" w:sz="12" w:space="0" w:color="000000"/>
              <w:end w:val="single" w:sz="12" w:space="0" w:color="000000"/>
            </w:tcBorders>
          </w:tcPr>
          <w:p>
            <w:pPr>
              <w:pStyle w:val="Normal"/>
              <w:snapToGrid w:val="false"/>
              <w:jc w:val="center"/>
              <w:rPr>
                <w:b/>
              </w:rPr>
            </w:pPr>
            <w:r>
              <w:rPr>
                <w:b/>
              </w:rPr>
            </w:r>
          </w:p>
        </w:tc>
      </w:tr>
    </w:tbl>
    <w:p>
      <w:pPr>
        <w:pStyle w:val="Normal"/>
        <w:spacing w:lineRule="auto" w:line="360"/>
        <w:rPr/>
      </w:pPr>
      <w:r>
        <w:rPr/>
        <w:t>Source: California Energy Commission (CEC)</w:t>
      </w:r>
    </w:p>
    <w:p>
      <w:pPr>
        <w:pStyle w:val="BodyText"/>
        <w:rPr/>
      </w:pPr>
      <w:r>
        <w:rPr/>
      </w:r>
    </w:p>
    <w:p>
      <w:pPr>
        <w:pStyle w:val="BodyText"/>
        <w:rPr/>
      </w:pPr>
      <w:r>
        <w:rPr/>
      </w:r>
    </w:p>
    <w:sectPr>
      <w:type w:val="nextPage"/>
      <w:pgSz w:w="12240" w:h="15840"/>
      <w:pgMar w:left="1440"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2002-02-08T12:42:00Z</dcterms:created>
  <dc:creator>mlokay</dc:creator>
  <dc:description/>
  <dc:language>en-CA</dc:language>
  <cp:lastModifiedBy>mlokay</cp:lastModifiedBy>
  <cp:lastPrinted>2002-02-08T09:11:00Z</cp:lastPrinted>
  <dcterms:modified xsi:type="dcterms:W3CDTF">2002-02-08T12:42:00Z</dcterms:modified>
  <cp:revision>2</cp:revision>
  <dc:subject/>
  <dc:title>PG&amp;E lateral to Bakersfield, California</dc:title>
</cp:coreProperties>
</file>