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MILBANK, TWEED, HADLEY &amp; McCLOY </w:t>
      </w:r>
      <w:r>
        <w:rPr>
          <w:sz w:val="20"/>
        </w:rPr>
        <w:t>LLP</w:t>
      </w:r>
    </w:p>
    <w:p>
      <w:pPr>
        <w:pStyle w:val="Normal"/>
        <w:rPr/>
      </w:pPr>
      <w:r>
        <w:rPr/>
        <w:t>Paul S. Aronzon (#088781)</w:t>
      </w:r>
    </w:p>
    <w:p>
      <w:pPr>
        <w:pStyle w:val="Normal"/>
        <w:rPr/>
      </w:pPr>
      <w:r>
        <w:rPr/>
        <w:t>Robert Jay Moore (#077495)</w:t>
      </w:r>
    </w:p>
    <w:p>
      <w:pPr>
        <w:pStyle w:val="Normal"/>
        <w:rPr/>
      </w:pPr>
      <w:r>
        <w:rPr/>
        <w:t>601 South Figueroa Street, Suite 3000</w:t>
      </w:r>
    </w:p>
    <w:p>
      <w:pPr>
        <w:pStyle w:val="Normal"/>
        <w:rPr/>
      </w:pPr>
      <w:r>
        <w:rPr/>
        <w:t>Los Angeles, California  90017</w:t>
      </w:r>
    </w:p>
    <w:p>
      <w:pPr>
        <w:pStyle w:val="Normal"/>
        <w:rPr/>
      </w:pPr>
      <w:r>
        <w:rPr/>
        <w:t>Telephone:  213/892-4000</w:t>
      </w:r>
    </w:p>
    <w:p>
      <w:pPr>
        <w:pStyle w:val="Normal"/>
        <w:rPr/>
      </w:pPr>
      <w:r>
        <w:rPr/>
        <w:t>Facsimile:  213/629-5063</w:t>
      </w:r>
    </w:p>
    <w:p>
      <w:pPr>
        <w:pStyle w:val="Normal"/>
        <w:rPr/>
      </w:pPr>
      <w:r>
        <w:rPr/>
      </w:r>
    </w:p>
    <w:p>
      <w:pPr>
        <w:pStyle w:val="Normal"/>
        <w:rPr/>
      </w:pPr>
      <w:r>
        <w:rPr/>
        <w:t xml:space="preserve">Proposed Counsel to the </w:t>
      </w:r>
    </w:p>
    <w:p>
      <w:pPr>
        <w:pStyle w:val="Normal"/>
        <w:rPr/>
      </w:pPr>
      <w:r>
        <w:rPr/>
        <w:t>Official Committee of Unsecured Creditors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exact" w:line="300"/>
        <w:jc w:val="center"/>
        <w:rPr>
          <w:b/>
        </w:rPr>
      </w:pPr>
      <w:r>
        <w:rPr>
          <w:b/>
        </w:rPr>
        <w:t>UNITED STATES BANKRUPTCY COURT</w:t>
      </w:r>
    </w:p>
    <w:p>
      <w:pPr>
        <w:pStyle w:val="Normal"/>
        <w:spacing w:lineRule="exact" w:line="300"/>
        <w:jc w:val="center"/>
        <w:rPr>
          <w:b/>
        </w:rPr>
      </w:pPr>
      <w:r>
        <w:rPr>
          <w:b/>
        </w:rPr>
        <w:t>NORTHERN DISTRICT OF CALIFORNIA</w:t>
      </w:r>
    </w:p>
    <w:p>
      <w:pPr>
        <w:pStyle w:val="Normal"/>
        <w:spacing w:lineRule="exact" w:line="300"/>
        <w:jc w:val="center"/>
        <w:rPr>
          <w:b/>
        </w:rPr>
      </w:pPr>
      <w:r>
        <w:rPr>
          <w:b/>
        </w:rPr>
        <w:t>SAN FRANCISCO DIVISION</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tbl>
      <w:tblPr>
        <w:tblW w:w="9720" w:type="dxa"/>
        <w:jc w:val="start"/>
        <w:tblInd w:w="-72" w:type="dxa"/>
        <w:tblLayout w:type="fixed"/>
        <w:tblCellMar>
          <w:top w:w="0" w:type="dxa"/>
          <w:start w:w="108" w:type="dxa"/>
          <w:bottom w:w="0" w:type="dxa"/>
          <w:end w:w="108" w:type="dxa"/>
        </w:tblCellMar>
      </w:tblPr>
      <w:tblGrid>
        <w:gridCol w:w="4590"/>
        <w:gridCol w:w="5130"/>
      </w:tblGrid>
      <w:tr>
        <w:trPr/>
        <w:tc>
          <w:tcPr>
            <w:tcW w:w="4590" w:type="dxa"/>
            <w:tcBorders>
              <w:bottom w:val="single" w:sz="4" w:space="0" w:color="000000"/>
              <w:end w:val="single" w:sz="4" w:space="0" w:color="000000"/>
            </w:tcBorders>
          </w:tcPr>
          <w:p>
            <w:pPr>
              <w:pStyle w:val="Normal"/>
              <w:tabs>
                <w:tab w:val="clear" w:pos="720"/>
                <w:tab w:val="left" w:pos="1710" w:leader="none"/>
                <w:tab w:val="left" w:pos="1800" w:leader="none"/>
              </w:tabs>
              <w:ind w:end="144"/>
              <w:rPr/>
            </w:pPr>
            <w:r>
              <w:rPr/>
              <w:t>In re:</w:t>
            </w:r>
          </w:p>
          <w:p>
            <w:pPr>
              <w:pStyle w:val="Normal"/>
              <w:tabs>
                <w:tab w:val="clear" w:pos="720"/>
                <w:tab w:val="left" w:pos="1710" w:leader="none"/>
                <w:tab w:val="left" w:pos="1800" w:leader="none"/>
              </w:tabs>
              <w:ind w:end="144"/>
              <w:rPr/>
            </w:pPr>
            <w:r>
              <w:rPr/>
            </w:r>
          </w:p>
          <w:p>
            <w:pPr>
              <w:pStyle w:val="Normal"/>
              <w:tabs>
                <w:tab w:val="clear" w:pos="720"/>
                <w:tab w:val="left" w:pos="1710" w:leader="none"/>
                <w:tab w:val="left" w:pos="1800" w:leader="none"/>
              </w:tabs>
              <w:ind w:end="144"/>
              <w:rPr/>
            </w:pPr>
            <w:r>
              <w:rPr/>
              <w:t>PACIFIC GAS AND ELECTRIC COMPANY,</w:t>
            </w:r>
            <w:r>
              <w:rPr>
                <w:b/>
              </w:rPr>
              <w:t xml:space="preserve"> </w:t>
            </w:r>
            <w:r>
              <w:rPr/>
              <w:t>a California corporation,</w:t>
            </w:r>
          </w:p>
          <w:p>
            <w:pPr>
              <w:pStyle w:val="Normal"/>
              <w:tabs>
                <w:tab w:val="clear" w:pos="720"/>
                <w:tab w:val="left" w:pos="1710" w:leader="none"/>
                <w:tab w:val="left" w:pos="1800" w:leader="none"/>
              </w:tabs>
              <w:ind w:end="144"/>
              <w:rPr/>
            </w:pPr>
            <w:r>
              <w:rPr/>
            </w:r>
          </w:p>
          <w:p>
            <w:pPr>
              <w:pStyle w:val="Normal"/>
              <w:tabs>
                <w:tab w:val="clear" w:pos="720"/>
                <w:tab w:val="left" w:pos="1962" w:leader="none"/>
              </w:tabs>
              <w:ind w:end="144"/>
              <w:rPr/>
            </w:pPr>
            <w:r>
              <w:rPr/>
              <w:tab/>
              <w:t>Debtor.</w:t>
            </w:r>
          </w:p>
          <w:p>
            <w:pPr>
              <w:pStyle w:val="Normal"/>
              <w:tabs>
                <w:tab w:val="clear" w:pos="720"/>
                <w:tab w:val="left" w:pos="1962" w:leader="none"/>
              </w:tabs>
              <w:ind w:end="144"/>
              <w:rPr/>
            </w:pPr>
            <w:r>
              <w:rPr/>
            </w:r>
          </w:p>
          <w:p>
            <w:pPr>
              <w:pStyle w:val="Normal"/>
              <w:tabs>
                <w:tab w:val="clear" w:pos="720"/>
                <w:tab w:val="left" w:pos="1962" w:leader="none"/>
              </w:tabs>
              <w:ind w:end="144"/>
              <w:rPr/>
            </w:pPr>
            <w:r>
              <w:rPr/>
            </w:r>
          </w:p>
          <w:p>
            <w:pPr>
              <w:pStyle w:val="Normal"/>
              <w:tabs>
                <w:tab w:val="clear" w:pos="720"/>
                <w:tab w:val="left" w:pos="1962" w:leader="none"/>
              </w:tabs>
              <w:ind w:end="144"/>
              <w:rPr/>
            </w:pPr>
            <w:r>
              <w:rPr/>
            </w:r>
          </w:p>
        </w:tc>
        <w:tc>
          <w:tcPr>
            <w:tcW w:w="5130" w:type="dxa"/>
            <w:tcBorders/>
          </w:tcPr>
          <w:p>
            <w:pPr>
              <w:pStyle w:val="FlushLeft"/>
              <w:spacing w:lineRule="exact" w:line="300"/>
              <w:ind w:start="144" w:end="144"/>
              <w:rPr/>
            </w:pPr>
            <w:r>
              <w:rPr/>
              <w:t>Case No. SF 01-30923 DM</w:t>
            </w:r>
          </w:p>
          <w:p>
            <w:pPr>
              <w:pStyle w:val="FlushLeft"/>
              <w:spacing w:lineRule="exact" w:line="300"/>
              <w:ind w:start="144" w:end="144"/>
              <w:rPr/>
            </w:pPr>
            <w:r>
              <w:rPr/>
            </w:r>
          </w:p>
          <w:p>
            <w:pPr>
              <w:pStyle w:val="FlushLeft"/>
              <w:spacing w:lineRule="exact" w:line="300"/>
              <w:ind w:start="144" w:end="144"/>
              <w:rPr/>
            </w:pPr>
            <w:r>
              <w:rPr/>
              <w:t>Chapter 11</w:t>
            </w:r>
          </w:p>
          <w:p>
            <w:pPr>
              <w:pStyle w:val="FlushLeft"/>
              <w:spacing w:lineRule="exact" w:line="300"/>
              <w:ind w:start="144" w:end="144"/>
              <w:rPr/>
            </w:pPr>
            <w:r>
              <w:rPr/>
            </w:r>
          </w:p>
          <w:p>
            <w:pPr>
              <w:pStyle w:val="Normal"/>
              <w:tabs>
                <w:tab w:val="clear" w:pos="720"/>
                <w:tab w:val="left" w:pos="-1440" w:leader="none"/>
                <w:tab w:val="left" w:pos="-720" w:leader="none"/>
              </w:tabs>
              <w:suppressAutoHyphens w:val="true"/>
              <w:spacing w:lineRule="exact" w:line="300" w:before="160" w:after="0"/>
              <w:ind w:start="288" w:end="288"/>
              <w:rPr>
                <w:b/>
              </w:rPr>
            </w:pPr>
            <w:r>
              <w:rPr>
                <w:b/>
              </w:rPr>
              <w:t>NOTICE OF MOTION AND MOTION OF OFFICIAL COMMITTEE OF UNSECURED CREDITORS FOR ENTRY OF AN ORDER PERMITTING TRADING IN AFFECTED SECURITIES AND PUBLISHING RESEARCH UPON ESTABLISHMENT OF ETHICAL WALL PROCEDURES</w:t>
            </w:r>
          </w:p>
          <w:p>
            <w:pPr>
              <w:pStyle w:val="FlushLeft"/>
              <w:spacing w:lineRule="exact" w:line="300"/>
              <w:ind w:start="144" w:end="144"/>
              <w:rPr>
                <w:b/>
              </w:rPr>
            </w:pPr>
            <w:r>
              <w:rPr>
                <w:b/>
              </w:rPr>
            </w:r>
          </w:p>
          <w:p>
            <w:pPr>
              <w:pStyle w:val="FlushLeft"/>
              <w:spacing w:lineRule="exact" w:line="300"/>
              <w:ind w:start="144" w:end="144"/>
              <w:jc w:val="center"/>
              <w:rPr/>
            </w:pPr>
            <w:r>
              <w:rPr>
                <w:u w:val="single"/>
              </w:rPr>
              <w:t>Hearing</w:t>
            </w:r>
            <w:r>
              <w:rPr/>
              <w:t>:</w:t>
            </w:r>
          </w:p>
          <w:p>
            <w:pPr>
              <w:pStyle w:val="FlushLeft"/>
              <w:spacing w:lineRule="exact" w:line="300"/>
              <w:ind w:start="144" w:end="144"/>
              <w:rPr/>
            </w:pPr>
            <w:r>
              <w:rPr/>
              <w:t>Date:</w:t>
              <w:tab/>
              <w:tab/>
              <w:t>[To Be Set]</w:t>
            </w:r>
          </w:p>
          <w:p>
            <w:pPr>
              <w:pStyle w:val="FlushLeft"/>
              <w:spacing w:lineRule="exact" w:line="300"/>
              <w:ind w:start="144" w:end="144"/>
              <w:rPr/>
            </w:pPr>
            <w:r>
              <w:rPr/>
              <w:t>Time:</w:t>
              <w:tab/>
              <w:tab/>
              <w:t>[To Be Set]</w:t>
            </w:r>
          </w:p>
          <w:p>
            <w:pPr>
              <w:pStyle w:val="FlushLeft"/>
              <w:rPr/>
            </w:pPr>
            <w:r>
              <w:rPr/>
              <w:t xml:space="preserve">  </w:t>
            </w:r>
            <w:r>
              <w:rPr/>
              <w:t>Place:</w:t>
              <w:tab/>
              <w:tab/>
              <w:t>235 Pine Street, 22</w:t>
            </w:r>
            <w:r>
              <w:rPr>
                <w:vertAlign w:val="superscript"/>
              </w:rPr>
              <w:t>nd</w:t>
            </w:r>
            <w:r>
              <w:rPr/>
              <w:t xml:space="preserve"> Floor</w:t>
              <w:br/>
              <w:tab/>
              <w:tab/>
              <w:t>San Francisco, CA</w:t>
              <w:br/>
            </w:r>
          </w:p>
          <w:p>
            <w:pPr>
              <w:pStyle w:val="FlushLeft"/>
              <w:jc w:val="center"/>
              <w:rPr/>
            </w:pPr>
            <w:r>
              <w:rPr/>
              <w:t>[Motion For Order Shortening Time Filed Concurrently]</w:t>
            </w:r>
          </w:p>
        </w:tc>
      </w:tr>
    </w:tbl>
    <w:p>
      <w:pPr>
        <w:pStyle w:val="FlushLeft"/>
        <w:numPr>
          <w:ilvl w:val="0"/>
          <w:numId w:val="0"/>
        </w:numPr>
        <w:spacing w:lineRule="exact" w:line="240"/>
        <w:outlineLvl w:val="0"/>
        <w:rPr/>
      </w:pPr>
      <w:r>
        <w:rPr/>
      </w:r>
    </w:p>
    <w:p>
      <w:pPr>
        <w:pStyle w:val="BodyText"/>
        <w:spacing w:before="180" w:after="0"/>
        <w:rPr>
          <w:b/>
        </w:rPr>
      </w:pPr>
      <w:r>
        <w:rPr>
          <w:b/>
        </w:rPr>
      </w:r>
      <w:r>
        <w:br w:type="page"/>
      </w:r>
    </w:p>
    <w:p>
      <w:pPr>
        <w:pStyle w:val="BodyText"/>
        <w:spacing w:lineRule="exact" w:line="300" w:before="180" w:after="0"/>
        <w:ind w:hanging="0" w:end="0"/>
        <w:rPr>
          <w:b/>
        </w:rPr>
      </w:pPr>
      <w:r>
        <w:rPr>
          <w:b/>
        </w:rPr>
        <w:t>TO THE HONORABLE DENNIS MONTALI, UNITED STATES BANKRUPTCY JUDGE, ALL PARTIES IN INTEREST AND THEIR COUNSEL OF RECORD:</w:t>
      </w:r>
    </w:p>
    <w:p>
      <w:pPr>
        <w:pStyle w:val="BodyText"/>
        <w:rPr>
          <w:b/>
        </w:rPr>
      </w:pPr>
      <w:r>
        <w:rPr>
          <w:b/>
        </w:rPr>
      </w:r>
    </w:p>
    <w:p>
      <w:pPr>
        <w:pStyle w:val="BodyText"/>
        <w:rPr/>
      </w:pPr>
      <w:r>
        <w:rPr>
          <w:b/>
        </w:rPr>
        <w:t xml:space="preserve">PLEASE TAKE NOTICE THAT </w:t>
      </w:r>
      <w:r>
        <w:rPr/>
        <w:t>the Official Committee of Unsecured Creditors (the “Committee”) of Pacific Gas and Electric Company, the Debtor and Debtor in Possession (the “Debtor”) in the above-captioned chapter 11 case (the “Case”), hereby moves the Court for entry of an order permitting members of the Committee to trade in the Debtor’s securities and debt, to trade in energy related commodities and derivatives, and to publish research, all as more particularly described below, upon the establishment and implementation of “Ethical Wall Procedures”</w:t>
      </w:r>
      <w:r>
        <w:rPr>
          <w:rStyle w:val="FootnoteCharacters"/>
          <w:rStyle w:val="FootnoteReference"/>
        </w:rPr>
        <w:footnoteReference w:id="2"/>
      </w:r>
      <w:r>
        <w:rPr/>
        <w:t xml:space="preserve"> and in accordance with the terms and conditions of any such order (the “Motion”).  A hearing on this Motion has been scheduled for </w:t>
      </w:r>
      <w:r>
        <w:rPr>
          <w:b/>
        </w:rPr>
        <w:t>[date]</w:t>
      </w:r>
      <w:r>
        <w:rPr/>
        <w:t xml:space="preserve"> at </w:t>
      </w:r>
      <w:r>
        <w:rPr>
          <w:b/>
        </w:rPr>
        <w:t>[time]</w:t>
      </w:r>
      <w:r>
        <w:rPr/>
        <w:t xml:space="preserve"> at </w:t>
      </w:r>
      <w:r>
        <w:rPr>
          <w:b/>
        </w:rPr>
        <w:t>[place]</w:t>
      </w:r>
      <w:r>
        <w:rPr/>
        <w:t xml:space="preserve">.  </w:t>
      </w:r>
    </w:p>
    <w:p>
      <w:pPr>
        <w:pStyle w:val="Normal"/>
        <w:keepNext w:val="true"/>
        <w:widowControl/>
        <w:spacing w:lineRule="exact" w:line="480"/>
        <w:rPr/>
      </w:pPr>
      <w:r>
        <w:rPr>
          <w:b/>
        </w:rPr>
        <w:t>I.</w:t>
        <w:tab/>
      </w:r>
      <w:r>
        <w:rPr>
          <w:b/>
          <w:u w:val="single"/>
        </w:rPr>
        <w:t>RELIEF REQUESTED</w:t>
      </w:r>
    </w:p>
    <w:p>
      <w:pPr>
        <w:pStyle w:val="Normal"/>
        <w:widowControl/>
        <w:numPr>
          <w:ilvl w:val="0"/>
          <w:numId w:val="6"/>
        </w:numPr>
        <w:tabs>
          <w:tab w:val="clear" w:pos="720"/>
          <w:tab w:val="left" w:pos="2160" w:leader="none"/>
        </w:tabs>
        <w:spacing w:lineRule="exact" w:line="480"/>
        <w:rPr>
          <w:b/>
          <w:u w:val="single"/>
        </w:rPr>
      </w:pPr>
      <w:r>
        <w:rPr/>
        <w:t>By this Motion, the Committee moves for the entry of an order, substantially in the form of the proposed order attached hereto as Exhibit “1” (the “Proposed Order”), determining that Committee members acting in any capacity will neither violate their duties as Committee members nor subject their claims to possible disallowance, subordination or other adverse treatment by buying, selling or otherwise trading in, or in publishing research relating to, any of the following during the pendency of the Debtor's chapter 11 case,</w:t>
      </w:r>
    </w:p>
    <w:p>
      <w:pPr>
        <w:pStyle w:val="Normal"/>
        <w:widowControl/>
        <w:numPr>
          <w:ilvl w:val="0"/>
          <w:numId w:val="2"/>
        </w:numPr>
        <w:tabs>
          <w:tab w:val="clear" w:pos="720"/>
          <w:tab w:val="left" w:pos="1440" w:leader="none"/>
        </w:tabs>
        <w:spacing w:lineRule="exact" w:line="480"/>
        <w:ind w:hanging="720" w:start="1440" w:end="0"/>
        <w:rPr/>
      </w:pPr>
      <w:r>
        <w:rPr/>
        <w:t xml:space="preserve">the Debtor’s stock, notes, bonds, debentures, and commercial paper or other paper, </w:t>
      </w:r>
    </w:p>
    <w:p>
      <w:pPr>
        <w:pStyle w:val="Normal"/>
        <w:widowControl/>
        <w:spacing w:lineRule="exact" w:line="480"/>
        <w:ind w:hanging="720" w:start="1440" w:end="0"/>
        <w:rPr/>
      </w:pPr>
      <w:r>
        <w:rPr/>
        <w:t>(ii)</w:t>
        <w:tab/>
        <w:t>participations in any of the Debtor’s debt obligations,</w:t>
      </w:r>
    </w:p>
    <w:p>
      <w:pPr>
        <w:pStyle w:val="Normal"/>
        <w:widowControl/>
        <w:numPr>
          <w:ilvl w:val="0"/>
          <w:numId w:val="7"/>
        </w:numPr>
        <w:spacing w:lineRule="exact" w:line="480"/>
        <w:rPr>
          <w:b/>
          <w:u w:val="single"/>
        </w:rPr>
      </w:pPr>
      <w:r>
        <w:rPr/>
        <w:t xml:space="preserve">credit derivatives, gas, power, coal, and other commodities, including without limitation physical, financial, derivative and other transactions and products, involving or relating to the Debtor or its affiliates, or in the markets in which the Debtor or its affiliates conduct the same or similar operations or in other markets, or </w:t>
      </w:r>
    </w:p>
    <w:p>
      <w:pPr>
        <w:pStyle w:val="Normal"/>
        <w:widowControl/>
        <w:numPr>
          <w:ilvl w:val="0"/>
          <w:numId w:val="7"/>
        </w:numPr>
        <w:tabs>
          <w:tab w:val="clear" w:pos="720"/>
        </w:tabs>
        <w:spacing w:lineRule="exact" w:line="480"/>
        <w:ind w:firstLine="720" w:start="0" w:end="0"/>
        <w:rPr>
          <w:b/>
          <w:u w:val="single"/>
        </w:rPr>
      </w:pPr>
      <w:r>
        <w:rPr/>
        <w:t xml:space="preserve">any other claims against or interests in the Debtor, ((i) and (ii) and (iv) collectively, the “Affected Securities” and (iii) the “Affected Commodities”) </w:t>
      </w:r>
      <w:r>
        <w:rPr>
          <w:u w:val="single"/>
        </w:rPr>
        <w:t>as</w:t>
      </w:r>
      <w:r>
        <w:rPr/>
        <w:t xml:space="preserve"> </w:t>
      </w:r>
      <w:r>
        <w:rPr>
          <w:u w:val="single"/>
        </w:rPr>
        <w:t>long</w:t>
      </w:r>
      <w:r>
        <w:rPr/>
        <w:t xml:space="preserve"> </w:t>
      </w:r>
      <w:r>
        <w:rPr>
          <w:u w:val="single"/>
        </w:rPr>
        <w:t>as</w:t>
      </w:r>
      <w:r>
        <w:rPr/>
        <w:t xml:space="preserve"> any Committee member that engages in any such transactions in Affected Securities or Affected Commodities establishes and effectively implements policies and procedures to prevent the misuse of any non-public information that may be obtained through its activities as a Committee member (“Confidential Committee Information”).</w:t>
      </w:r>
    </w:p>
    <w:p>
      <w:pPr>
        <w:pStyle w:val="BodyTextCentered"/>
        <w:keepNext w:val="true"/>
        <w:keepLines/>
        <w:spacing w:before="0" w:after="0"/>
        <w:jc w:val="start"/>
        <w:rPr/>
      </w:pPr>
      <w:r>
        <w:rPr>
          <w:u w:val="none"/>
        </w:rPr>
        <w:t>II.</w:t>
        <w:tab/>
      </w:r>
      <w:r>
        <w:rPr/>
        <w:t>FACTS</w:t>
      </w:r>
    </w:p>
    <w:p>
      <w:pPr>
        <w:pStyle w:val="Pleading1L2"/>
        <w:numPr>
          <w:ilvl w:val="1"/>
          <w:numId w:val="4"/>
        </w:numPr>
        <w:tabs>
          <w:tab w:val="clear" w:pos="720"/>
        </w:tabs>
        <w:ind w:hanging="1440" w:start="2160" w:end="0"/>
        <w:rPr/>
      </w:pPr>
      <w:r>
        <w:rPr/>
        <w:t>BACKGROUND</w:t>
      </w:r>
    </w:p>
    <w:p>
      <w:pPr>
        <w:pStyle w:val="Normal"/>
        <w:widowControl/>
        <w:numPr>
          <w:ilvl w:val="0"/>
          <w:numId w:val="6"/>
        </w:numPr>
        <w:tabs>
          <w:tab w:val="clear" w:pos="720"/>
          <w:tab w:val="left" w:pos="2160" w:leader="none"/>
        </w:tabs>
        <w:spacing w:lineRule="exact" w:line="480"/>
        <w:rPr/>
      </w:pPr>
      <w:r>
        <w:rPr/>
        <w:t>On April 6, 2001, the Debtor filed a voluntary petition for relief under chapter 11 of title 11 of the United States Code (the “Bankruptcy Code”).  The Debtor is operating its business and managing its property as debtor in possession pursuant to Bankruptcy Code sections 1107(a) and 1108.</w:t>
      </w:r>
    </w:p>
    <w:p>
      <w:pPr>
        <w:pStyle w:val="Normal"/>
        <w:widowControl/>
        <w:numPr>
          <w:ilvl w:val="0"/>
          <w:numId w:val="6"/>
        </w:numPr>
        <w:tabs>
          <w:tab w:val="clear" w:pos="720"/>
          <w:tab w:val="left" w:pos="2160" w:leader="none"/>
        </w:tabs>
        <w:spacing w:lineRule="exact" w:line="480"/>
        <w:rPr/>
      </w:pPr>
      <w:r>
        <w:rPr/>
        <w:t>On April 10, 2001, the United States Trustee appointed the Committee, and on April 13 and 20, 2001, the United States amended its appointments to the Committee.  As of the date hereof, the Committee consists of the following eleven (11) members: Bank of America, NA, PE-Berkeley, Inc., The Bank of New York, City of Palo Alto, The Davey Tree Surgery Company, Dynegy Power Marketing, Inc., Enron Corp., GWF Power Systems, LP, State of Tennessee, Merrill Lynch and Morgan Guaranty.  In addition, the Committee has selected Bank of America, NA and PE-Berkeley, Inc. to serve as Co-Chairs of the Committee.</w:t>
      </w:r>
    </w:p>
    <w:p>
      <w:pPr>
        <w:pStyle w:val="Normal"/>
        <w:widowControl/>
        <w:numPr>
          <w:ilvl w:val="0"/>
          <w:numId w:val="6"/>
        </w:numPr>
        <w:tabs>
          <w:tab w:val="clear" w:pos="720"/>
          <w:tab w:val="left" w:pos="2160" w:leader="none"/>
        </w:tabs>
        <w:spacing w:lineRule="exact" w:line="480"/>
        <w:rPr/>
      </w:pPr>
      <w:r>
        <w:rPr/>
        <w:t>On April 16, 2001, the Committee selected Milbank, Tweed, Hadley &amp; McCloy LLP (“Milbank”) as counsel to represent the Committee in the Case.  Milbank has separately filed an application for employment for this Court’s approval.</w:t>
      </w:r>
    </w:p>
    <w:p>
      <w:pPr>
        <w:pStyle w:val="Normal"/>
        <w:widowControl/>
        <w:numPr>
          <w:ilvl w:val="0"/>
          <w:numId w:val="6"/>
        </w:numPr>
        <w:tabs>
          <w:tab w:val="clear" w:pos="720"/>
          <w:tab w:val="left" w:pos="2160" w:leader="none"/>
        </w:tabs>
        <w:spacing w:lineRule="exact" w:line="480"/>
        <w:rPr>
          <w:b/>
          <w:u w:val="single"/>
        </w:rPr>
      </w:pPr>
      <w:r>
        <w:rPr/>
        <w:t>This Court has jurisdiction over this Motion pursuant to 28 U.S.C. §§ 157 and 1334 and this matter is a core proceeding under 28 U.S.C. § 157(b)(2).  The statutory predicate for the relief sought by this Motion is Bankruptcy Code section 105(a).</w:t>
      </w:r>
    </w:p>
    <w:p>
      <w:pPr>
        <w:pStyle w:val="Pleading1L2"/>
        <w:numPr>
          <w:ilvl w:val="1"/>
          <w:numId w:val="4"/>
        </w:numPr>
        <w:tabs>
          <w:tab w:val="clear" w:pos="720"/>
        </w:tabs>
        <w:ind w:hanging="1440" w:start="2160" w:end="0"/>
        <w:rPr/>
      </w:pPr>
      <w:r>
        <w:rPr/>
        <w:t>NEED FOR REQUESTED RELIEF</w:t>
      </w:r>
    </w:p>
    <w:p>
      <w:pPr>
        <w:pStyle w:val="Normal"/>
        <w:widowControl/>
        <w:numPr>
          <w:ilvl w:val="0"/>
          <w:numId w:val="6"/>
        </w:numPr>
        <w:tabs>
          <w:tab w:val="clear" w:pos="720"/>
          <w:tab w:val="left" w:pos="2160" w:leader="none"/>
        </w:tabs>
        <w:spacing w:lineRule="exact" w:line="480"/>
        <w:rPr/>
      </w:pPr>
      <w:r>
        <w:rPr/>
        <w:t>Certain members of the Committee, and certain direct or indirect affiliates or subsidiaries of members of the Committee, among other functions, trade in, or render financial advice (including providing research) with respect to the Affected Securities or the Affected Commodities, including but not limited to municipal, public and private securities, and energy related commodities and derivatives, as a regular part of their business (collectively, the “Trading Entities”).</w:t>
      </w:r>
    </w:p>
    <w:p>
      <w:pPr>
        <w:pStyle w:val="Normal"/>
        <w:widowControl/>
        <w:numPr>
          <w:ilvl w:val="0"/>
          <w:numId w:val="6"/>
        </w:numPr>
        <w:tabs>
          <w:tab w:val="clear" w:pos="720"/>
          <w:tab w:val="left" w:pos="2160" w:leader="none"/>
        </w:tabs>
        <w:spacing w:lineRule="exact" w:line="480"/>
        <w:rPr/>
      </w:pPr>
      <w:r>
        <w:rPr/>
        <w:t>The Trading Entities are among the largest creditors of the Debtor and bring considerable expertise to the Committee.  Therefore, the Trading Entities have both the incentive and ability to make significant contributions to the Committee and this Case.</w:t>
      </w:r>
    </w:p>
    <w:p>
      <w:pPr>
        <w:pStyle w:val="Normal"/>
        <w:widowControl/>
        <w:numPr>
          <w:ilvl w:val="0"/>
          <w:numId w:val="6"/>
        </w:numPr>
        <w:tabs>
          <w:tab w:val="clear" w:pos="720"/>
          <w:tab w:val="left" w:pos="2160" w:leader="none"/>
        </w:tabs>
        <w:spacing w:lineRule="exact" w:line="480"/>
        <w:rPr/>
      </w:pPr>
      <w:r>
        <w:rPr/>
        <w:t>However, the Trading Entities are unwilling to serve on the Committee if they are not permitted, pursuant to reasonable Ethical Wall Procedures, to trade in, and/or, as the case may be, render financial (including providing research) advice with respect to, the Affected Securities and the Affected Commodities, which include, but are not limited to, those Affected Securities or Affected Commodities held by the Trading Entities as of the date hereof or subsequently directly or indirectly acquired by them.</w:t>
      </w:r>
    </w:p>
    <w:p>
      <w:pPr>
        <w:pStyle w:val="Normal"/>
        <w:widowControl/>
        <w:numPr>
          <w:ilvl w:val="0"/>
          <w:numId w:val="6"/>
        </w:numPr>
        <w:tabs>
          <w:tab w:val="clear" w:pos="720"/>
          <w:tab w:val="left" w:pos="2160" w:leader="none"/>
        </w:tabs>
        <w:spacing w:lineRule="exact" w:line="480"/>
        <w:rPr/>
      </w:pPr>
      <w:r>
        <w:rPr/>
        <w:t>As members of the Committee, Trading Entities may receive information regarding the Debtor that has not been released to the public and which may be released only subject to a confidentiality agreement.  Absent entry of the Proposed Order, the Trading Entities may not be authorized to trade in the Affected Securities or the Affected Commodities, or publish research relating thereto, without being accused of violating their fiduciary duties as Committee members, thus subjecting their claims in this case to possible disallowance or subordination, or subjecting themselves or their clients to disgorgement of trading profits or other adverse treatment.</w:t>
      </w:r>
    </w:p>
    <w:p>
      <w:pPr>
        <w:pStyle w:val="Normal"/>
        <w:widowControl/>
        <w:numPr>
          <w:ilvl w:val="0"/>
          <w:numId w:val="6"/>
        </w:numPr>
        <w:tabs>
          <w:tab w:val="clear" w:pos="720"/>
          <w:tab w:val="left" w:pos="2160" w:leader="none"/>
        </w:tabs>
        <w:spacing w:lineRule="exact" w:line="480"/>
        <w:rPr/>
      </w:pPr>
      <w:r>
        <w:rPr/>
        <w:t>Many institutions have faced the same dilemma in other chapter 11 cases in recent years.  To resolve this issue, bankruptcy courts, with increasing regularity, permit institutional creditors and broker/dealers to trade in the securities of a debtor while serving on an official creditors’ committee. Such authorization, however, typically is conditioned on such institutional creditors establishing Ethical Wall Procedures.</w:t>
      </w:r>
    </w:p>
    <w:p>
      <w:pPr>
        <w:pStyle w:val="Normal"/>
        <w:widowControl/>
        <w:numPr>
          <w:ilvl w:val="0"/>
          <w:numId w:val="6"/>
        </w:numPr>
        <w:tabs>
          <w:tab w:val="clear" w:pos="720"/>
          <w:tab w:val="left" w:pos="2160" w:leader="none"/>
        </w:tabs>
        <w:spacing w:lineRule="exact" w:line="480"/>
        <w:rPr/>
      </w:pPr>
      <w:r>
        <w:rPr/>
        <w:t>The use of Ethical Wall Procedures will protect the public from any harm that might otherwise occur by virtue of a Trading Entity’s simultaneous service on or to the Committee and continued trading in the Affected Securities and the Affected Commodities and publication of research.  At the same time, entry of the Proposed Order will benefit the public by allowing the significant market players that sit on the Committee to actively trade, which will assist in providing liquidity for the Affected Securities and the Affected Commodities.</w:t>
      </w:r>
    </w:p>
    <w:p>
      <w:pPr>
        <w:pStyle w:val="Normal"/>
        <w:widowControl/>
        <w:spacing w:lineRule="exact" w:line="480"/>
        <w:rPr/>
      </w:pPr>
      <w:r>
        <w:rPr>
          <w:b/>
        </w:rPr>
        <w:t>III.</w:t>
        <w:tab/>
      </w:r>
      <w:r>
        <w:rPr>
          <w:b/>
          <w:u w:val="single"/>
        </w:rPr>
        <w:t>ARGUMENT</w:t>
      </w:r>
    </w:p>
    <w:p>
      <w:pPr>
        <w:pStyle w:val="Pleading1L2"/>
        <w:numPr>
          <w:ilvl w:val="1"/>
          <w:numId w:val="4"/>
        </w:numPr>
        <w:tabs>
          <w:tab w:val="clear" w:pos="720"/>
        </w:tabs>
        <w:spacing w:lineRule="exact" w:line="300" w:before="300" w:after="220"/>
        <w:ind w:hanging="0" w:start="0"/>
        <w:rPr>
          <w:u w:val="none"/>
        </w:rPr>
      </w:pPr>
      <w:r>
        <w:rPr>
          <w:b w:val="false"/>
          <w:u w:val="none"/>
        </w:rPr>
        <w:t>AUTHORIZING TRADING AND RENDERING ADVICE WITH</w:t>
        <w:br/>
        <w:t xml:space="preserve">RESPECT TO AFFECTED SECURITIES AND AFFECTED COMMODITIES BY COMMITTEE MEMBERS IS IN THE BEST </w:t>
      </w:r>
      <w:r>
        <w:rPr>
          <w:b w:val="false"/>
        </w:rPr>
        <w:t>INTERESTS OF THE ESTATE AND THE MARKET</w:t>
      </w:r>
    </w:p>
    <w:p>
      <w:pPr>
        <w:pStyle w:val="Normal"/>
        <w:widowControl/>
        <w:numPr>
          <w:ilvl w:val="0"/>
          <w:numId w:val="6"/>
        </w:numPr>
        <w:tabs>
          <w:tab w:val="clear" w:pos="720"/>
          <w:tab w:val="left" w:pos="2160" w:leader="none"/>
        </w:tabs>
        <w:spacing w:lineRule="exact" w:line="480"/>
        <w:rPr/>
      </w:pPr>
      <w:r>
        <w:rPr/>
        <w:t xml:space="preserve">Procedures for establishing an Ethical Wall were clearly articulated by the United States Bankruptcy Court for the Southern District of Ohio in the chapter 11 bankruptcy case of </w:t>
      </w:r>
      <w:r>
        <w:rPr>
          <w:u w:val="single"/>
        </w:rPr>
        <w:t>Federated Department Stores, Inc</w:t>
      </w:r>
      <w:r>
        <w:rPr/>
        <w:t>.  1991 WL 79143, Bankr. No. 1-90-00130, (Bankr. S.D. Ohio 1991).  In that case, Fidelity Management &amp; Research Company (“Fidelity”), a member of an official bondholders’ committee, moved for an order determining that it would not violate its duties as a committee member by trading in the debtor’s securities if procedures were implemented to insulate its trading activities from its committee-related activities.  Numerous parties, including the Securities and Exchange Commission (the “SEC”), supported Fidelity’s motion, and even the debtor responded that they were not opposed to the requested relief.  The SEC’s memorandum, attached hereto as Exhibit "2," in support of Fidelity’s motion urged the court to adopt the SEC’s position that:</w:t>
      </w:r>
    </w:p>
    <w:p>
      <w:pPr>
        <w:pStyle w:val="Normal"/>
        <w:widowControl/>
        <w:spacing w:before="300" w:after="180"/>
        <w:ind w:start="720" w:end="720"/>
        <w:jc w:val="both"/>
        <w:rPr/>
      </w:pPr>
      <w:r>
        <w:rPr/>
        <w:t xml:space="preserve">consistent with the requirements of the federal securities laws and the bankruptcy laws, an entity that is engaged in the trading of securities as a regular part of its business and that has implemented procedures reasonably designed to prevent the transmission to its trading personnel of information obtained through service on an official committee </w:t>
      </w:r>
      <w:r>
        <w:rPr>
          <w:b/>
          <w:i/>
        </w:rPr>
        <w:t>is not precluded from serving on the committee and, at the same time, trading in the debtor’s securities</w:t>
      </w:r>
      <w:r>
        <w:rPr/>
        <w:t>.</w:t>
      </w:r>
    </w:p>
    <w:p>
      <w:pPr>
        <w:pStyle w:val="Normal"/>
        <w:widowControl/>
        <w:spacing w:lineRule="exact" w:line="480"/>
        <w:rPr/>
      </w:pPr>
      <w:r>
        <w:rPr/>
        <w:t xml:space="preserve">SEC Memorandum at 6 (emphasis added).  The SEC went on to point out that institutional creditors “have skills and expertise that are likely to be extremely valuable to the committee” and concluded that there “is no legal impediment to permitting the service of such entities on official committees.”  </w:t>
      </w:r>
      <w:r>
        <w:rPr>
          <w:u w:val="single"/>
        </w:rPr>
        <w:t>Id.</w:t>
      </w:r>
    </w:p>
    <w:p>
      <w:pPr>
        <w:pStyle w:val="Normal"/>
        <w:widowControl/>
        <w:numPr>
          <w:ilvl w:val="0"/>
          <w:numId w:val="6"/>
        </w:numPr>
        <w:tabs>
          <w:tab w:val="clear" w:pos="720"/>
          <w:tab w:val="left" w:pos="2160" w:leader="none"/>
        </w:tabs>
        <w:spacing w:lineRule="exact" w:line="480"/>
        <w:rPr>
          <w:b/>
          <w:u w:val="single"/>
        </w:rPr>
      </w:pPr>
      <w:r>
        <w:rPr/>
        <w:t xml:space="preserve">Fidelity’s motion was granted, with Judge Aug ordering that "Fidelity will not be violating its fiduciary duties as a committee member and, accordingly, will not be subjecting its claims to possible disallowance, subordination, or other adverse treatment by trading in the securities of the Debtor . . . during the pendency of these Cases, provided that Fidelity employs an appropriate information blocking device or [Ethical] Wall."  </w:t>
      </w:r>
      <w:r>
        <w:rPr>
          <w:u w:val="single"/>
        </w:rPr>
        <w:t>In re Federated Dep’t Stores, Inc.</w:t>
      </w:r>
      <w:r>
        <w:rPr/>
        <w:t>, 1991 WL 79143 at *1 (the “Federated Order”).</w:t>
      </w:r>
    </w:p>
    <w:p>
      <w:pPr>
        <w:pStyle w:val="Normal"/>
        <w:widowControl/>
        <w:numPr>
          <w:ilvl w:val="0"/>
          <w:numId w:val="6"/>
        </w:numPr>
        <w:tabs>
          <w:tab w:val="clear" w:pos="720"/>
          <w:tab w:val="left" w:pos="2160" w:leader="none"/>
        </w:tabs>
        <w:spacing w:lineRule="exact" w:line="480"/>
        <w:rPr>
          <w:b/>
          <w:u w:val="single"/>
        </w:rPr>
      </w:pPr>
      <w:r>
        <w:rPr/>
        <w:t xml:space="preserve">The Federated Order specified certain procedures for establishment of an Ethical Wall by an institutional creditor, including:  (i) written acknowledgment by personnel performing committee work that they could receive non-public information and are aware of the Ethical Wall Procedures in effect; (ii) preventing the trading entity’s trading personnel from the misuse of any non-public information obtained by the trading entity’s designated representatives for Committee-related activities; (iii) creation of separate file space for committee work that is inaccessible to employees that are not responsible for performing any committee-related functions; (iv) restrictions on committee personnel’s access to trading information; and (v) establishment of a compliance review process.  </w:t>
      </w:r>
    </w:p>
    <w:p>
      <w:pPr>
        <w:pStyle w:val="Normal"/>
        <w:widowControl/>
        <w:numPr>
          <w:ilvl w:val="0"/>
          <w:numId w:val="6"/>
        </w:numPr>
        <w:tabs>
          <w:tab w:val="clear" w:pos="720"/>
          <w:tab w:val="left" w:pos="2160" w:leader="none"/>
        </w:tabs>
        <w:spacing w:lineRule="exact" w:line="480"/>
        <w:rPr>
          <w:b/>
          <w:u w:val="single"/>
        </w:rPr>
      </w:pPr>
      <w:r>
        <w:rPr/>
        <w:t>Since the entry of the Federated Order, numerous other bankruptcy courts, including the United States Bankruptcy Court for the Central District of California, have recognized the importance of having institutional creditors participate on official committees in large cases, and accordingly, have entered orders permitting institutional members of official committees to trade the debtor’s securities and publish research as long as Ethical Wall Procedures are implemented.</w:t>
      </w:r>
    </w:p>
    <w:p>
      <w:pPr>
        <w:pStyle w:val="Normal"/>
        <w:widowControl/>
        <w:numPr>
          <w:ilvl w:val="0"/>
          <w:numId w:val="6"/>
        </w:numPr>
        <w:tabs>
          <w:tab w:val="clear" w:pos="720"/>
          <w:tab w:val="left" w:pos="2160" w:leader="none"/>
        </w:tabs>
        <w:spacing w:lineRule="exact" w:line="480"/>
        <w:rPr>
          <w:b/>
          <w:u w:val="single"/>
        </w:rPr>
      </w:pPr>
      <w:r>
        <w:rPr/>
        <w:t xml:space="preserve">For example, in </w:t>
      </w:r>
      <w:r>
        <w:rPr>
          <w:u w:val="single"/>
        </w:rPr>
        <w:t>In re County of Orange</w:t>
      </w:r>
      <w:r>
        <w:rPr/>
        <w:t xml:space="preserve">, Case No. SA 94-22272-JR, Judge Ryan entered an order (January 31, 1995), a copy of which is attached hereto as Exhibit “3,” permitting members of the official committee of unsecured creditors and the subcommittee of bondholders to trade in the debtor’s, and other, securities with “appropriate and effective information blocking procedures,” the terms of which were substantially identical to those set forth in the Federated Order. </w:t>
      </w:r>
    </w:p>
    <w:p>
      <w:pPr>
        <w:pStyle w:val="Normal"/>
        <w:widowControl/>
        <w:numPr>
          <w:ilvl w:val="0"/>
          <w:numId w:val="6"/>
        </w:numPr>
        <w:tabs>
          <w:tab w:val="clear" w:pos="720"/>
          <w:tab w:val="left" w:pos="2160" w:leader="none"/>
        </w:tabs>
        <w:spacing w:lineRule="exact" w:line="480"/>
        <w:rPr>
          <w:b/>
          <w:u w:val="single"/>
        </w:rPr>
      </w:pPr>
      <w:r>
        <w:rPr/>
        <w:t xml:space="preserve">More recently, by orders dated October 19, 2000, December 11, 1999, September 21, 1999, December 21, 1998, February 21, 1997, July 17, 1996 and September 8, 1995, in the respective chapter 11 cases of </w:t>
      </w:r>
      <w:r>
        <w:rPr>
          <w:u w:val="single"/>
        </w:rPr>
        <w:t>In re GST Telecom, Inc.</w:t>
      </w:r>
      <w:r>
        <w:rPr/>
        <w:t xml:space="preserve">, Case No. 00-1982 (GMS), </w:t>
      </w:r>
      <w:r>
        <w:rPr>
          <w:u w:val="single"/>
        </w:rPr>
        <w:t>In re Sun Healthcare Group, Inc.</w:t>
      </w:r>
      <w:r>
        <w:rPr/>
        <w:t xml:space="preserve">, Case No. 99-3657 (MFW), </w:t>
      </w:r>
      <w:r>
        <w:rPr>
          <w:u w:val="single"/>
        </w:rPr>
        <w:t>In re ICO Global Communications Services Inc</w:t>
      </w:r>
      <w:r>
        <w:rPr/>
        <w:t xml:space="preserve">., </w:t>
      </w:r>
      <w:r>
        <w:rPr>
          <w:u w:val="single"/>
        </w:rPr>
        <w:t>et</w:t>
      </w:r>
      <w:r>
        <w:rPr/>
        <w:t xml:space="preserve">. </w:t>
      </w:r>
      <w:r>
        <w:rPr>
          <w:u w:val="single"/>
        </w:rPr>
        <w:t>al</w:t>
      </w:r>
      <w:r>
        <w:rPr/>
        <w:t xml:space="preserve">., Case No. 99-2933 (MFW), </w:t>
      </w:r>
      <w:r>
        <w:rPr>
          <w:u w:val="single"/>
        </w:rPr>
        <w:t>In re Acme Metals Inc.</w:t>
      </w:r>
      <w:r>
        <w:rPr/>
        <w:t xml:space="preserve">, Case No. 98-2179 (MFW), </w:t>
      </w:r>
      <w:r>
        <w:rPr>
          <w:u w:val="single"/>
        </w:rPr>
        <w:t>In re Mid American Waste Systems, Inc.</w:t>
      </w:r>
      <w:r>
        <w:rPr/>
        <w:t xml:space="preserve">, Case No. 97-104 (PJW), </w:t>
      </w:r>
      <w:r>
        <w:rPr>
          <w:u w:val="single"/>
        </w:rPr>
        <w:t>In re Ace-Texas, Inc., et al.</w:t>
      </w:r>
      <w:r>
        <w:rPr/>
        <w:t xml:space="preserve">, Case No. 96-166 (PJW), and </w:t>
      </w:r>
      <w:r>
        <w:rPr>
          <w:u w:val="single"/>
        </w:rPr>
        <w:t>Wherehouse Entertainment, Inc.</w:t>
      </w:r>
      <w:r>
        <w:rPr/>
        <w:t xml:space="preserve">, Case No. 95-911 (HSB), the Bankruptcy Court for the District of Delaware has permitted members of the official creditors' committees appointed in such cases to trade in the debtors' securities during the pendency of such cases provided that the committee members established and implemented Ethical Wall Procedures.  Other bankruptcy courts have entered similar orders.  </w:t>
      </w:r>
      <w:r>
        <w:rPr>
          <w:u w:val="single"/>
        </w:rPr>
        <w:t>See</w:t>
      </w:r>
      <w:r>
        <w:rPr/>
        <w:t xml:space="preserve"> </w:t>
      </w:r>
      <w:r>
        <w:rPr>
          <w:u w:val="single"/>
        </w:rPr>
        <w:t>In re Vista Eyecare, Inc.</w:t>
      </w:r>
      <w:r>
        <w:rPr/>
        <w:t xml:space="preserve">, Case No. A00-65214 (Bankr. D. Ga. June 1, 2001); </w:t>
      </w:r>
      <w:r>
        <w:rPr>
          <w:u w:val="single"/>
        </w:rPr>
        <w:t>In re America West Airlines, Inc.</w:t>
      </w:r>
      <w:r>
        <w:rPr/>
        <w:t>,  No. 91-07505 (Bankr. D. Ariz. Oct. 23, 1991).</w:t>
      </w:r>
    </w:p>
    <w:p>
      <w:pPr>
        <w:pStyle w:val="Pleading1L2"/>
        <w:numPr>
          <w:ilvl w:val="1"/>
          <w:numId w:val="4"/>
        </w:numPr>
        <w:tabs>
          <w:tab w:val="clear" w:pos="720"/>
        </w:tabs>
        <w:spacing w:lineRule="exact" w:line="300" w:before="300" w:after="240"/>
        <w:ind w:hanging="0" w:start="0"/>
        <w:rPr>
          <w:b w:val="false"/>
        </w:rPr>
      </w:pPr>
      <w:r>
        <w:rPr>
          <w:b w:val="false"/>
          <w:u w:val="none"/>
        </w:rPr>
        <w:t>USE OF “INFORMATION WALLS” IS PERMITTED</w:t>
        <w:br/>
        <w:t>UNDER SECURITIES LAWS AND REGULATIONS</w:t>
        <w:br/>
      </w:r>
      <w:r>
        <w:rPr>
          <w:b w:val="false"/>
        </w:rPr>
        <w:t>AND NOT PRECLUDED UNDER THE BANKRUPTCY CODE</w:t>
      </w:r>
    </w:p>
    <w:p>
      <w:pPr>
        <w:pStyle w:val="Normal"/>
        <w:widowControl/>
        <w:numPr>
          <w:ilvl w:val="0"/>
          <w:numId w:val="6"/>
        </w:numPr>
        <w:tabs>
          <w:tab w:val="clear" w:pos="720"/>
          <w:tab w:val="left" w:pos="2160" w:leader="none"/>
        </w:tabs>
        <w:spacing w:lineRule="exact" w:line="480"/>
        <w:rPr/>
      </w:pPr>
      <w:r>
        <w:rPr/>
        <w:t xml:space="preserve">As noted in the SEC Memorandum, “[Ethical] Walls and similar devices are well-established means of preventing transmission of [material nonpublic] information . . .”  </w:t>
      </w:r>
      <w:r>
        <w:rPr>
          <w:u w:val="single"/>
        </w:rPr>
        <w:t>Id</w:t>
      </w:r>
      <w:r>
        <w:rPr/>
        <w:t>. at pg. A-162.  Moreover, such devices are mandated for broker-dealers and investment advisers.  15 U.S.C. § 780(f) and 15 U.S.C. § 80b-4A.</w:t>
      </w:r>
      <w:r>
        <w:rPr>
          <w:rStyle w:val="FootnoteCharacters"/>
          <w:rStyle w:val="FootnoteReference"/>
        </w:rPr>
        <w:footnoteReference w:id="3"/>
      </w:r>
    </w:p>
    <w:p>
      <w:pPr>
        <w:pStyle w:val="Normal"/>
        <w:widowControl/>
        <w:numPr>
          <w:ilvl w:val="0"/>
          <w:numId w:val="6"/>
        </w:numPr>
        <w:tabs>
          <w:tab w:val="clear" w:pos="720"/>
          <w:tab w:val="left" w:pos="2160" w:leader="none"/>
        </w:tabs>
        <w:spacing w:lineRule="exact" w:line="480"/>
        <w:rPr/>
      </w:pPr>
      <w:r>
        <w:rPr/>
        <w:t>Under certain circumstances, Ethical Wall Procedures may provide defenses to asserted violations of Rule 14e-3 of the Securities Exchange Act of 1934 (“Rule 14e-3”).  Rule 14e-3 mandates a “disclose or abstain from trading duty” for any person who obtains inside information about a tender offer from either the offeror or the target company, or from their officers, directors or employees.  An exception to the Rule exists for those entities that can show the individuals making the investment decisions are not privy to the inside information and that the entity has implemented policies and procedures, reasonable under the circumstances, the ensure that the securities laws would not be violated.  Rule 14e-3(b).</w:t>
      </w:r>
    </w:p>
    <w:p>
      <w:pPr>
        <w:pStyle w:val="Normal"/>
        <w:widowControl/>
        <w:numPr>
          <w:ilvl w:val="0"/>
          <w:numId w:val="6"/>
        </w:numPr>
        <w:tabs>
          <w:tab w:val="clear" w:pos="720"/>
          <w:tab w:val="left" w:pos="2160" w:leader="none"/>
        </w:tabs>
        <w:spacing w:lineRule="exact" w:line="480"/>
        <w:rPr/>
      </w:pPr>
      <w:r>
        <w:rPr/>
        <w:t>The SEC, in the SEC Memorandum, argues that the same legal principles provided for in Rule 14e-3(b) should extend to Section 10(b) of the Securities Exchange Act and Rule 10b-5 thereunder.</w:t>
      </w:r>
      <w:r>
        <w:rPr>
          <w:rStyle w:val="FootnoteCharacters"/>
          <w:rStyle w:val="FootnoteReference"/>
        </w:rPr>
        <w:footnoteReference w:id="4"/>
      </w:r>
      <w:r>
        <w:rPr/>
        <w:t xml:space="preserve">  See </w:t>
      </w:r>
      <w:r>
        <w:rPr>
          <w:u w:val="single"/>
        </w:rPr>
        <w:t>Koppers v. American Express</w:t>
      </w:r>
      <w:r>
        <w:rPr/>
        <w:t xml:space="preserve">, 689 F. Supp. 1413, 1413-5 (W.D. Pa. 1988) (reprinting letter to court from the Commission’s General Counsel stating that the Commission “believes that violations of the federal securities laws stemming from these conflicts can be avoided through the use of well-established preventative policies and procedures, such as [Ethical] Walls, restricted lists and watch lists.”); </w:t>
      </w:r>
      <w:r>
        <w:rPr>
          <w:u w:val="single"/>
        </w:rPr>
        <w:t>Slade v. Shearson, Hammill &amp; Co., Inc.</w:t>
      </w:r>
      <w:r>
        <w:rPr/>
        <w:t xml:space="preserve">, Fed. Sec. L. Rep. (CCH) ¶ 94, 329 (S.D.N.Y. 1974), </w:t>
      </w:r>
      <w:r>
        <w:rPr>
          <w:u w:val="single"/>
        </w:rPr>
        <w:t>remanded</w:t>
      </w:r>
      <w:r>
        <w:rPr/>
        <w:t xml:space="preserve"> 517 F.2d 398 (2d Cir. 1974) (supporting the use of Ethical Wall Procedures in brokerage firms if the persons who engage in securities transactions for customers are thereby effectively isolated from any inside information that the firm may receive as an investment banker).  </w:t>
      </w:r>
    </w:p>
    <w:p>
      <w:pPr>
        <w:pStyle w:val="Normal"/>
        <w:widowControl/>
        <w:numPr>
          <w:ilvl w:val="0"/>
          <w:numId w:val="6"/>
        </w:numPr>
        <w:tabs>
          <w:tab w:val="clear" w:pos="720"/>
          <w:tab w:val="left" w:pos="2160" w:leader="none"/>
        </w:tabs>
        <w:spacing w:lineRule="exact" w:line="480"/>
        <w:rPr/>
      </w:pPr>
      <w:r>
        <w:rPr/>
        <w:t>While it is clearly established that members of official committees are fiduciaries to the creditors they represent,</w:t>
      </w:r>
      <w:r>
        <w:rPr>
          <w:rStyle w:val="FootnoteCharacters"/>
          <w:rStyle w:val="FootnoteReference"/>
        </w:rPr>
        <w:footnoteReference w:id="5"/>
      </w:r>
      <w:r>
        <w:rPr/>
        <w:t xml:space="preserve"> no current Bankruptcy Code provision prevents the trading in claims or securities of the Debtor or the publication of research relating thereto.  Indeed, when Congress enacted the Bankruptcy Code in 1978, it specifically deleted section 249 of the former Bankruptcy Act, which provided that fiduciaries would be denied compensation for services rendered in the bankruptcy proceedings if they engaged in any trading in the debtor’s securities.  </w:t>
      </w:r>
    </w:p>
    <w:p>
      <w:pPr>
        <w:pStyle w:val="Normal"/>
        <w:widowControl/>
        <w:numPr>
          <w:ilvl w:val="0"/>
          <w:numId w:val="6"/>
        </w:numPr>
        <w:tabs>
          <w:tab w:val="clear" w:pos="720"/>
          <w:tab w:val="left" w:pos="2160" w:leader="none"/>
        </w:tabs>
        <w:spacing w:lineRule="exact" w:line="480"/>
        <w:rPr/>
      </w:pPr>
      <w:r>
        <w:rPr/>
        <w:t>Bankruptcy Code section 328(c), the successor to section 249 of the Bankruptcy Act, authorizes the denial of compensation to professionals who are not disinterested, but unlike section 249 of the Bankruptcy Act it does not apply to members of an official or unofficial committee nor is it a mandatory denial of compensation.  11 U.S.C. § 328(c).</w:t>
      </w:r>
    </w:p>
    <w:p>
      <w:pPr>
        <w:pStyle w:val="Normal"/>
        <w:widowControl/>
        <w:numPr>
          <w:ilvl w:val="0"/>
          <w:numId w:val="6"/>
        </w:numPr>
        <w:tabs>
          <w:tab w:val="clear" w:pos="720"/>
          <w:tab w:val="left" w:pos="2160" w:leader="none"/>
        </w:tabs>
        <w:spacing w:lineRule="exact" w:line="480"/>
        <w:rPr/>
      </w:pPr>
      <w:r>
        <w:rPr/>
        <w:t xml:space="preserve">The SEC interpreted the omissions of the prohibitions cited in section 249 of the Bankruptcy Act as the intent of Congress to “give more flexibility for interpretation of the fiduciary duty that is owed by members of official committees.”  SEC Memorandum at page 22.  This Court should extend that flexibility to permit Trading Entities to trade in, provide research coverage of, and render advice with regards to Affected Securities and Affected Commodities, as long as they comply with the established procedural protections set forth in the Proposed Order.  </w:t>
      </w:r>
    </w:p>
    <w:p>
      <w:pPr>
        <w:pStyle w:val="Pleading1L2"/>
        <w:keepNext w:val="true"/>
        <w:numPr>
          <w:ilvl w:val="1"/>
          <w:numId w:val="4"/>
        </w:numPr>
        <w:tabs>
          <w:tab w:val="clear" w:pos="720"/>
        </w:tabs>
        <w:spacing w:lineRule="exact" w:line="300"/>
        <w:ind w:hanging="0" w:start="0"/>
        <w:rPr>
          <w:b w:val="false"/>
        </w:rPr>
      </w:pPr>
      <w:r>
        <w:rPr>
          <w:b w:val="false"/>
          <w:u w:val="none"/>
        </w:rPr>
        <w:t>COMMITTEE MEMBERS SHOULD NOT BE</w:t>
        <w:br/>
        <w:t xml:space="preserve">PRECLUDED FROM TRADING, PROVIDING RESEARCH COVERAGE OF, OR RENDERING ADVICE WITH RESPECT TO, THE AFFECTED </w:t>
      </w:r>
      <w:r>
        <w:rPr>
          <w:b w:val="false"/>
        </w:rPr>
        <w:t>SECURITIES AND THE AFFECTED COMMODITIES</w:t>
      </w:r>
    </w:p>
    <w:p>
      <w:pPr>
        <w:pStyle w:val="Normal"/>
        <w:widowControl/>
        <w:numPr>
          <w:ilvl w:val="0"/>
          <w:numId w:val="6"/>
        </w:numPr>
        <w:tabs>
          <w:tab w:val="clear" w:pos="720"/>
          <w:tab w:val="left" w:pos="2160" w:leader="none"/>
        </w:tabs>
        <w:spacing w:lineRule="exact" w:line="480" w:before="60" w:after="0"/>
        <w:rPr/>
      </w:pPr>
      <w:r>
        <w:rPr/>
        <w:t xml:space="preserve">The Committee believes that current and future members of the Committee should not be precluded from trading in, providing research coverage of, or rendering advice with respect to, Affected Securities and Affected Commodities during the tenure of such member(s) on the Committee.  As recognized by the SEC in the </w:t>
      </w:r>
      <w:r>
        <w:rPr>
          <w:u w:val="single"/>
        </w:rPr>
        <w:t>Federated</w:t>
      </w:r>
      <w:r>
        <w:rPr/>
        <w:t xml:space="preserve"> case, the Trading Entities have resources and experience, including knowledge of the Debtor’s business, industry, capital structure and the gas and power markets, that render them particularly valuable for official creditors’ committee service.  In addition, because the Trading Entities are among the Debtor’s largest creditors (or representatives thereof), they have a great incentive to pursue the Committee’s work diligently toward the goal of confirming a chapter 11 plan.</w:t>
      </w:r>
    </w:p>
    <w:p>
      <w:pPr>
        <w:pStyle w:val="Normal"/>
        <w:widowControl/>
        <w:numPr>
          <w:ilvl w:val="0"/>
          <w:numId w:val="6"/>
        </w:numPr>
        <w:tabs>
          <w:tab w:val="clear" w:pos="720"/>
          <w:tab w:val="left" w:pos="2160" w:leader="none"/>
        </w:tabs>
        <w:spacing w:lineRule="exact" w:line="480"/>
        <w:rPr/>
      </w:pPr>
      <w:r>
        <w:rPr/>
        <w:t xml:space="preserve">Beyond any negative consequences it would have in this case, denial of the relief sought herein also will discourage large creditors with expertise and experience in reorganizations from joining creditors’ committees in other cases, despite the presumption in the Bankruptcy Code that the committee will “ordinarily” consist of the largest creditors.  </w:t>
      </w:r>
      <w:r>
        <w:rPr>
          <w:u w:val="single"/>
        </w:rPr>
        <w:t>See</w:t>
      </w:r>
      <w:r>
        <w:rPr/>
        <w:t xml:space="preserve"> 11 U.S.C. § 1102(b)(1).  Creditors that regularly trade in the Debtor’s securities or in commodities also traded by the Debtor simply should not be forced into the choice of serving on a committee and risking the loss of beneficial investment opportunities or business opportunities or transactions for their clients or foregoing service and possibly compromising those same responsibilities by taking a less active role in the reorganization.</w:t>
      </w:r>
    </w:p>
    <w:p>
      <w:pPr>
        <w:pStyle w:val="Normal"/>
        <w:widowControl/>
        <w:numPr>
          <w:ilvl w:val="0"/>
          <w:numId w:val="6"/>
        </w:numPr>
        <w:tabs>
          <w:tab w:val="clear" w:pos="720"/>
          <w:tab w:val="left" w:pos="2160" w:leader="none"/>
        </w:tabs>
        <w:spacing w:lineRule="exact" w:line="480"/>
        <w:rPr/>
      </w:pPr>
      <w:r>
        <w:rPr/>
        <w:t>Accordingly, the Committee seeks entry of the Proposed Order which provides a mechanism for the authorized trading of the Affected Securities and the Affected Commodities by the Trading Entities.  Many courts have entered similar orders to permit Committee members to trade in and provide research with respect to the debtor’s securities, provided Ethical Wall Procedures were implemented.  There is no impediment in the federal securities laws, other laws or the Bankruptcy Code to the relief sought by the Committee.  Indeed, for some time now, the SEC has recognized the value and legitimacy of Ethical Wall Procedures in the securities law context.  As bankruptcy courts have repeatedly recognized, there is no reason why Ethical Wall Procedures cannot prove to be just as useful in the bankruptcy context.</w:t>
      </w:r>
    </w:p>
    <w:p>
      <w:pPr>
        <w:pStyle w:val="Normal"/>
        <w:widowControl/>
        <w:numPr>
          <w:ilvl w:val="0"/>
          <w:numId w:val="6"/>
        </w:numPr>
        <w:tabs>
          <w:tab w:val="clear" w:pos="720"/>
          <w:tab w:val="left" w:pos="2160" w:leader="none"/>
        </w:tabs>
        <w:spacing w:lineRule="exact" w:line="480"/>
        <w:rPr/>
      </w:pPr>
      <w:r>
        <w:rPr/>
        <w:t>For the foregoing reasons, the Committee respectfully submits that its members should be permitted to trade in, and provide research with respect to, the Affected Securities and the Affected Commodities during the pendency of this case on the condition that such members establish and effectively implement policies and procedures, such as the Ethical Wall Procedures, to prevent the misuse of non-public information obtained through their activities as Committee members.</w:t>
      </w:r>
    </w:p>
    <w:p>
      <w:pPr>
        <w:pStyle w:val="Normal"/>
        <w:keepNext w:val="true"/>
        <w:widowControl/>
        <w:numPr>
          <w:ilvl w:val="0"/>
          <w:numId w:val="3"/>
        </w:numPr>
        <w:spacing w:lineRule="exact" w:line="480"/>
        <w:rPr>
          <w:b/>
          <w:u w:val="single"/>
        </w:rPr>
      </w:pPr>
      <w:r>
        <w:rPr>
          <w:b/>
          <w:u w:val="single"/>
        </w:rPr>
        <w:t>NOTICE</w:t>
      </w:r>
    </w:p>
    <w:p>
      <w:pPr>
        <w:pStyle w:val="Normal"/>
        <w:widowControl/>
        <w:numPr>
          <w:ilvl w:val="0"/>
          <w:numId w:val="6"/>
        </w:numPr>
        <w:tabs>
          <w:tab w:val="clear" w:pos="720"/>
          <w:tab w:val="left" w:pos="2160" w:leader="none"/>
        </w:tabs>
        <w:spacing w:lineRule="exact" w:line="480"/>
        <w:rPr/>
      </w:pPr>
      <w:r>
        <w:rPr/>
        <w:t>Notice of this Motion has been given to the Office of United States Trustee, the Securities and Exchange Commission, the New York Stock Exchange, NASDAQ, the Commodities Futures Trading Commission, the Chicago Board of Trade, members of the Committee, and counsel to the Debtor.  The Committee submits that due to the nature of the relief requested herein, no further notice is required.</w:t>
      </w:r>
    </w:p>
    <w:p>
      <w:pPr>
        <w:pStyle w:val="Normal"/>
        <w:keepNext w:val="true"/>
        <w:widowControl/>
        <w:spacing w:lineRule="exact" w:line="480"/>
        <w:rPr/>
      </w:pPr>
      <w:r>
        <w:rPr>
          <w:b/>
        </w:rPr>
        <w:t>V.</w:t>
        <w:tab/>
      </w:r>
      <w:r>
        <w:rPr>
          <w:b/>
          <w:u w:val="single"/>
        </w:rPr>
        <w:t>CONCLUSION</w:t>
      </w:r>
    </w:p>
    <w:p>
      <w:pPr>
        <w:pStyle w:val="Normal"/>
        <w:widowControl/>
        <w:spacing w:lineRule="exact" w:line="480"/>
        <w:ind w:firstLine="1440" w:end="0"/>
        <w:rPr/>
      </w:pPr>
      <w:r>
        <w:rPr>
          <w:b/>
        </w:rPr>
        <w:t>WHEREFORE</w:t>
      </w:r>
      <w:r>
        <w:rPr/>
        <w:t xml:space="preserve">, the Committee respectfully requests the entry of an order, substantially in the form of the Proposed Order annexed hereto as Exhibit “1,” providing that a Committee member acting in any capacity will not violate its duties as a Committee member (and, accordingly, will not subject its claims to possible disallowance, subordination, or other adverse treatment) by publishing research and trading in Affected Securities or Affected Commodities during the pendency of the Debtor’s cases, </w:t>
      </w:r>
      <w:r>
        <w:rPr>
          <w:u w:val="single"/>
        </w:rPr>
        <w:t>provided</w:t>
      </w:r>
      <w:r>
        <w:rPr/>
        <w:t xml:space="preserve"> </w:t>
      </w:r>
      <w:r>
        <w:rPr>
          <w:u w:val="single"/>
        </w:rPr>
        <w:t>that</w:t>
      </w:r>
      <w:r>
        <w:rPr/>
        <w:t xml:space="preserve"> such Committee member implements the applicable Ethical Wall Procedures to insulate its research and trading activities from the activities related to its Committee service; and (ii) grants the Committee such further relief as the Court deems just and appropriate.</w:t>
      </w:r>
    </w:p>
    <w:p>
      <w:pPr>
        <w:pStyle w:val="Normal"/>
        <w:keepLines/>
        <w:widowControl/>
        <w:spacing w:lineRule="auto" w:line="240"/>
        <w:rPr/>
      </w:pPr>
      <w:r>
        <w:rPr/>
      </w:r>
    </w:p>
    <w:p>
      <w:pPr>
        <w:pStyle w:val="Normal"/>
        <w:keepLines/>
        <w:widowControl/>
        <w:spacing w:lineRule="auto" w:line="240"/>
        <w:rPr/>
      </w:pPr>
      <w:r>
        <w:rPr/>
      </w:r>
    </w:p>
    <w:p>
      <w:pPr>
        <w:pStyle w:val="Normal"/>
        <w:keepLines/>
        <w:widowControl/>
        <w:spacing w:lineRule="auto" w:line="240"/>
        <w:rPr>
          <w:b/>
        </w:rPr>
      </w:pPr>
      <w:r>
        <w:rPr/>
        <w:t>Dated:  May ___, 2001</w:t>
        <w:tab/>
        <w:tab/>
        <w:t>MILBANK, TWEED, HADLEY &amp; M</w:t>
      </w:r>
      <w:r>
        <w:rPr>
          <w:u w:val="single"/>
          <w:vertAlign w:val="superscript"/>
        </w:rPr>
        <w:t>c</w:t>
      </w:r>
      <w:r>
        <w:rPr/>
        <w:t xml:space="preserve">CLOY </w:t>
      </w:r>
      <w:r>
        <w:rPr>
          <w:sz w:val="22"/>
        </w:rPr>
        <w:t>LLP</w:t>
      </w:r>
    </w:p>
    <w:p>
      <w:pPr>
        <w:pStyle w:val="Normal"/>
        <w:keepLines/>
        <w:widowControl/>
        <w:spacing w:lineRule="auto" w:line="240"/>
        <w:ind w:start="3600" w:end="0"/>
        <w:rPr>
          <w:b/>
        </w:rPr>
      </w:pPr>
      <w:r>
        <w:rPr>
          <w:b/>
        </w:rPr>
      </w:r>
    </w:p>
    <w:p>
      <w:pPr>
        <w:pStyle w:val="Normal"/>
        <w:keepLines/>
        <w:widowControl/>
        <w:spacing w:lineRule="auto" w:line="240"/>
        <w:ind w:start="3600" w:end="0"/>
        <w:rPr>
          <w:b/>
        </w:rPr>
      </w:pPr>
      <w:r>
        <w:rPr>
          <w:b/>
        </w:rPr>
      </w:r>
    </w:p>
    <w:p>
      <w:pPr>
        <w:pStyle w:val="Normal"/>
        <w:keepLines/>
        <w:widowControl/>
        <w:spacing w:lineRule="auto" w:line="240"/>
        <w:ind w:start="3600" w:end="0"/>
        <w:rPr/>
      </w:pPr>
      <w:r>
        <w:rPr/>
      </w:r>
    </w:p>
    <w:p>
      <w:pPr>
        <w:pStyle w:val="Normal"/>
        <w:keepLines/>
        <w:widowControl/>
        <w:tabs>
          <w:tab w:val="clear" w:pos="720"/>
          <w:tab w:val="left" w:pos="4050" w:leader="none"/>
        </w:tabs>
        <w:spacing w:lineRule="auto" w:line="240"/>
        <w:ind w:start="3600" w:end="0"/>
        <w:rPr/>
      </w:pPr>
      <w:r>
        <w:rPr/>
        <w:t>By:</w:t>
        <w:tab/>
      </w:r>
      <w:r>
        <w:rPr>
          <w:u w:val="single"/>
        </w:rPr>
        <w:t>                                        </w:t>
        <w:tab/>
        <w:t>         </w:t>
        <w:tab/>
        <w:t>  </w:t>
      </w:r>
    </w:p>
    <w:p>
      <w:pPr>
        <w:pStyle w:val="Normal"/>
        <w:keepLines/>
        <w:widowControl/>
        <w:tabs>
          <w:tab w:val="clear" w:pos="720"/>
          <w:tab w:val="left" w:pos="0" w:leader="none"/>
          <w:tab w:val="left" w:pos="1296" w:leader="none"/>
          <w:tab w:val="left" w:pos="1440" w:leader="none"/>
          <w:tab w:val="left" w:pos="2160" w:leader="none"/>
          <w:tab w:val="left" w:pos="2880" w:leader="none"/>
          <w:tab w:val="left" w:pos="360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259" w:start="3787" w:end="0"/>
        <w:rPr/>
      </w:pPr>
      <w:r>
        <w:rPr/>
        <w:tab/>
        <w:tab/>
        <w:t>Paul S. Aronzon</w:t>
      </w:r>
    </w:p>
    <w:p>
      <w:pPr>
        <w:pStyle w:val="Normal"/>
        <w:keepLines/>
        <w:widowControl/>
        <w:tabs>
          <w:tab w:val="clear" w:pos="720"/>
          <w:tab w:val="left" w:pos="0" w:leader="none"/>
          <w:tab w:val="left" w:pos="1296" w:leader="none"/>
          <w:tab w:val="left" w:pos="1440" w:leader="none"/>
          <w:tab w:val="left" w:pos="2160" w:leader="none"/>
          <w:tab w:val="left" w:pos="2880" w:leader="none"/>
          <w:tab w:val="left" w:pos="360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ind w:firstLine="259" w:start="3787" w:end="0"/>
        <w:rPr/>
      </w:pPr>
      <w:r>
        <w:rPr/>
        <w:tab/>
        <w:tab/>
        <w:t>Robert Jay Moore</w:t>
        <w:br/>
      </w:r>
    </w:p>
    <w:p>
      <w:pPr>
        <w:pStyle w:val="Normal"/>
        <w:keepLines/>
        <w:widowControl/>
        <w:spacing w:lineRule="auto" w:line="240"/>
        <w:ind w:start="3600" w:end="0"/>
        <w:rPr/>
      </w:pPr>
      <w:r>
        <w:rPr/>
        <w:t>Proposed Counsel to the Official Committee of Unsecured Creditors of Pacific Gas and Electric Company</w:t>
      </w:r>
    </w:p>
    <w:sectPr>
      <w:headerReference w:type="default" r:id="rId2"/>
      <w:headerReference w:type="first" r:id="rId3"/>
      <w:footerReference w:type="default" r:id="rId4"/>
      <w:footerReference w:type="first" r:id="rId5"/>
      <w:footnotePr>
        <w:numFmt w:val="decimal"/>
      </w:footnotePr>
      <w:type w:val="nextPage"/>
      <w:pgSz w:w="12240" w:h="15840"/>
      <w:pgMar w:left="2160" w:right="720" w:gutter="0" w:header="432" w:top="1296" w:footer="36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4" w:type="dxa"/>
      <w:jc w:val="start"/>
      <w:tblInd w:w="-1786" w:type="dxa"/>
      <w:tblLayout w:type="fixed"/>
      <w:tblCellMar>
        <w:top w:w="0" w:type="dxa"/>
        <w:start w:w="108" w:type="dxa"/>
        <w:bottom w:w="0" w:type="dxa"/>
        <w:end w:w="108" w:type="dxa"/>
      </w:tblCellMar>
    </w:tblPr>
    <w:tblGrid>
      <w:gridCol w:w="1714"/>
      <w:gridCol w:w="4230"/>
      <w:gridCol w:w="1440"/>
      <w:gridCol w:w="4046"/>
      <w:gridCol w:w="4"/>
    </w:tblGrid>
    <w:tr>
      <w:trPr/>
      <w:tc>
        <w:tcPr>
          <w:tcW w:w="1714" w:type="dxa"/>
          <w:tcBorders/>
        </w:tcPr>
        <w:p>
          <w:pPr>
            <w:pStyle w:val="Footer"/>
            <w:snapToGrid w:val="false"/>
            <w:spacing w:lineRule="exact" w:line="160"/>
            <w:ind w:start="-58" w:end="0"/>
            <w:jc w:val="center"/>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4230" w:type="dxa"/>
          <w:tcBorders/>
        </w:tcPr>
        <w:p>
          <w:pPr>
            <w:pStyle w:val="Footer"/>
            <w:spacing w:lineRule="exact" w:line="200"/>
            <w:rPr/>
          </w:pPr>
          <w:r>
            <w:rPr>
              <w:rStyle w:val="zzmpTrailerItem"/>
            </w:rPr>
            <w:t>LA1:#6203103v7</w:t>
          </w:r>
          <w:r>
            <w:rPr/>
            <w:t xml:space="preserve"> </w:t>
          </w:r>
        </w:p>
      </w:tc>
      <w:tc>
        <w:tcPr>
          <w:tcW w:w="1440" w:type="dxa"/>
          <w:tcBorders/>
        </w:tcPr>
        <w:p>
          <w:pPr>
            <w:pStyle w:val="Footer"/>
            <w:ind w:start="-86" w:end="0"/>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p>
      </w:tc>
      <w:tc>
        <w:tcPr>
          <w:tcW w:w="4046" w:type="dxa"/>
          <w:tcBorders/>
        </w:tcPr>
        <w:p>
          <w:pPr>
            <w:pStyle w:val="Footer"/>
            <w:tabs>
              <w:tab w:val="center" w:pos="4320" w:leader="none"/>
              <w:tab w:val="right" w:pos="5014" w:leader="none"/>
              <w:tab w:val="right" w:pos="9360" w:leader="none"/>
            </w:tabs>
            <w:snapToGrid w:val="false"/>
            <w:ind w:start="252" w:end="0"/>
            <w:jc w:val="end"/>
            <w:rPr>
              <w:rStyle w:val="PageNumber"/>
            </w:rPr>
          </w:pPr>
          <w:r>
            <w:rPr/>
          </w:r>
        </w:p>
      </w:tc>
    </w:tr>
    <w:tr>
      <w:trPr/>
      <w:tc>
        <w:tcPr>
          <w:tcW w:w="11434" w:type="dxa"/>
          <w:gridSpan w:val="4"/>
          <w:tcBorders/>
        </w:tcPr>
        <w:p>
          <w:pPr>
            <w:pStyle w:val="Footer"/>
            <w:tabs>
              <w:tab w:val="clear" w:pos="9360"/>
              <w:tab w:val="center" w:pos="4320" w:leader="none"/>
            </w:tabs>
            <w:ind w:start="1156" w:end="0"/>
            <w:jc w:val="center"/>
            <w:rPr/>
          </w:pPr>
          <w:r>
            <w:rPr/>
            <w:t>COMMITTEE'S MOTION FOR TRADING ORDER</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4" w:type="dxa"/>
      <w:jc w:val="start"/>
      <w:tblInd w:w="-1786" w:type="dxa"/>
      <w:tblLayout w:type="fixed"/>
      <w:tblCellMar>
        <w:top w:w="0" w:type="dxa"/>
        <w:start w:w="108" w:type="dxa"/>
        <w:bottom w:w="0" w:type="dxa"/>
        <w:end w:w="108" w:type="dxa"/>
      </w:tblCellMar>
    </w:tblPr>
    <w:tblGrid>
      <w:gridCol w:w="1714"/>
      <w:gridCol w:w="3776"/>
      <w:gridCol w:w="1350"/>
      <w:gridCol w:w="4590"/>
      <w:gridCol w:w="4"/>
    </w:tblGrid>
    <w:tr>
      <w:trPr/>
      <w:tc>
        <w:tcPr>
          <w:tcW w:w="1714" w:type="dxa"/>
          <w:tcBorders/>
        </w:tcPr>
        <w:p>
          <w:pPr>
            <w:pStyle w:val="Footer"/>
            <w:snapToGrid w:val="false"/>
            <w:spacing w:lineRule="exact" w:line="160"/>
            <w:ind w:start="-58" w:end="0"/>
            <w:jc w:val="center"/>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3776" w:type="dxa"/>
          <w:tcBorders/>
        </w:tcPr>
        <w:p>
          <w:pPr>
            <w:pStyle w:val="Footer"/>
            <w:spacing w:lineRule="exact" w:line="200"/>
            <w:rPr/>
          </w:pPr>
          <w:r>
            <w:rPr>
              <w:rStyle w:val="zzmpTrailerItem"/>
            </w:rPr>
            <w:t>LA1:#6203103v7</w:t>
          </w:r>
          <w:r>
            <w:rPr/>
            <w:t xml:space="preserve"> </w:t>
          </w:r>
        </w:p>
      </w:tc>
      <w:tc>
        <w:tcPr>
          <w:tcW w:w="1350" w:type="dxa"/>
          <w:tcBorders/>
        </w:tcPr>
        <w:p>
          <w:pPr>
            <w:pStyle w:val="Footer"/>
            <w:snapToGrid w:val="false"/>
            <w:ind w:start="-86" w:end="0"/>
            <w:jc w:val="end"/>
            <w:rPr>
              <w:rStyle w:val="PageNumber"/>
            </w:rPr>
          </w:pPr>
          <w:r>
            <w:rPr/>
          </w:r>
        </w:p>
      </w:tc>
      <w:tc>
        <w:tcPr>
          <w:tcW w:w="4590" w:type="dxa"/>
          <w:tcBorders/>
        </w:tcPr>
        <w:p>
          <w:pPr>
            <w:pStyle w:val="Footer"/>
            <w:tabs>
              <w:tab w:val="center" w:pos="4320" w:leader="none"/>
              <w:tab w:val="right" w:pos="5014" w:leader="none"/>
              <w:tab w:val="right" w:pos="9360" w:leader="none"/>
            </w:tabs>
            <w:snapToGrid w:val="false"/>
            <w:ind w:start="252" w:end="0"/>
            <w:jc w:val="end"/>
            <w:rPr>
              <w:rStyle w:val="PageNumber"/>
            </w:rPr>
          </w:pPr>
          <w:r>
            <w:rPr/>
          </w:r>
        </w:p>
      </w:tc>
    </w:tr>
    <w:tr>
      <w:trPr/>
      <w:tc>
        <w:tcPr>
          <w:tcW w:w="11434" w:type="dxa"/>
          <w:gridSpan w:val="4"/>
          <w:tcBorders/>
        </w:tcPr>
        <w:p>
          <w:pPr>
            <w:pStyle w:val="Footer"/>
            <w:tabs>
              <w:tab w:val="clear" w:pos="9360"/>
              <w:tab w:val="center" w:pos="4320" w:leader="none"/>
            </w:tabs>
            <w:ind w:start="1156" w:end="0"/>
            <w:jc w:val="center"/>
            <w:rPr/>
          </w:pPr>
          <w:r>
            <w:rPr/>
            <w:t>COMMITTEE'S MOTION FOR TRADING ORDER</w:t>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60"/>
        <w:ind w:hanging="0" w:start="0" w:end="0"/>
        <w:rPr/>
      </w:pPr>
      <w:r>
        <w:rPr>
          <w:rStyle w:val="FootnoteCharacters"/>
        </w:rPr>
        <w:footnoteRef/>
      </w:r>
      <w:r>
        <w:rPr>
          <w:sz w:val="20"/>
        </w:rPr>
        <w:tab/>
      </w:r>
      <w:r>
        <w:rPr/>
        <w:t>As used herein, the term “Ethical Wall Procedures” refers to procedures established by an institution to isolate its trading activities from its activities as a member of an official creditors’ committee.  An Ethical Wall Procedure typically involves:  staffing arrangements whereby the institution's personnel responsible for performing committee functions are different from the personnel responsible for performing trading and research functions; physical separation of the office and file spaces used by those personnel; establishment of procedures for securing committee-related files; establishment of separate telephone and facsimile lines for trading activities and committee activities; and special procedures for the delivery and posting of telephone messages.</w:t>
      </w:r>
    </w:p>
  </w:footnote>
  <w:footnote w:id="3">
    <w:p>
      <w:pPr>
        <w:pStyle w:val="FootnoteText"/>
        <w:spacing w:before="0" w:after="60"/>
        <w:ind w:hanging="0" w:start="0" w:end="0"/>
        <w:rPr/>
      </w:pPr>
      <w:r>
        <w:rPr>
          <w:rStyle w:val="FootnoteCharacters"/>
        </w:rPr>
        <w:footnoteRef/>
      </w:r>
      <w:r>
        <w:rPr/>
        <w:t xml:space="preserve"> </w:t>
      </w:r>
      <w:r>
        <w:rPr/>
        <w:tab/>
        <w:t>Both sections (one from the Securities Exchange Act and the other from the Investment Advisers Act of 1940) provide for the establishment, maintenance and enforcement of written policies and procedures reasonably designed to prevent the misuse of material, nonpublic information.</w:t>
      </w:r>
    </w:p>
  </w:footnote>
  <w:footnote w:id="4">
    <w:p>
      <w:pPr>
        <w:pStyle w:val="FootnoteText"/>
        <w:spacing w:before="0" w:after="60"/>
        <w:ind w:hanging="0" w:start="0" w:end="0"/>
        <w:rPr/>
      </w:pPr>
      <w:r>
        <w:rPr>
          <w:rStyle w:val="FootnoteCharacters"/>
        </w:rPr>
        <w:footnoteRef/>
      </w:r>
      <w:r>
        <w:rPr/>
        <w:t xml:space="preserve"> </w:t>
      </w:r>
      <w:r>
        <w:rPr/>
        <w:tab/>
        <w:t>Under Section 10(b) and Rule 10b-5 thereunder, an insider having material, nonpublic information must disclose the information or abstain from trading in order to avoid violating those provisions.</w:t>
        <w:br/>
      </w:r>
    </w:p>
  </w:footnote>
  <w:footnote w:id="5">
    <w:p>
      <w:pPr>
        <w:pStyle w:val="FootnoteText"/>
        <w:spacing w:before="0" w:after="60"/>
        <w:ind w:hanging="0" w:start="0" w:end="0"/>
        <w:rPr/>
      </w:pPr>
      <w:r>
        <w:rPr>
          <w:rStyle w:val="FootnoteCharacters"/>
        </w:rPr>
        <w:footnoteRef/>
      </w:r>
      <w:r>
        <w:rPr/>
        <w:t xml:space="preserve"> </w:t>
      </w:r>
      <w:r>
        <w:rPr/>
        <w:tab/>
      </w:r>
      <w:r>
        <w:rPr>
          <w:u w:val="single"/>
        </w:rPr>
        <w:t>See</w:t>
      </w:r>
      <w:r>
        <w:rPr/>
        <w:t xml:space="preserve"> </w:t>
      </w:r>
      <w:r>
        <w:rPr>
          <w:u w:val="single"/>
        </w:rPr>
        <w:t>Woods v. National Bank and Trust Co. of Chicago</w:t>
      </w:r>
      <w:r>
        <w:rPr/>
        <w:t>, 312 U.S. 262, 268-69 (1941).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1">
              <wp:simplePos x="0" y="0"/>
              <wp:positionH relativeFrom="column">
                <wp:align>left</wp:align>
              </wp:positionH>
              <wp:positionV relativeFrom="line">
                <wp:posOffset>635</wp:posOffset>
              </wp:positionV>
              <wp:extent cx="6572250" cy="9448800"/>
              <wp:effectExtent l="0" t="0" r="0" b="0"/>
              <wp:wrapNone/>
              <wp:docPr id="1" name="Frame2"/>
              <a:graphic xmlns:a="http://schemas.openxmlformats.org/drawingml/2006/main">
                <a:graphicData uri="http://schemas.microsoft.com/office/word/2010/wordprocessingShape">
                  <wps:wsp>
                    <wps:cNvSpPr txBox="1"/>
                    <wps:spPr>
                      <a:xfrm>
                        <a:off x="0" y="0"/>
                        <a:ext cx="6572250" cy="9448800"/>
                      </a:xfrm>
                      <a:prstGeom prst="rect"/>
                      <a:solidFill>
                        <a:srgbClr val="FFFFFF"/>
                      </a:solidFill>
                    </wps:spPr>
                    <wps:txbx>
                      <w:txbxContent>
                        <w:tbl>
                          <w:tblPr>
                            <w:tblW w:w="10350" w:type="dxa"/>
                            <w:jc w:val="start"/>
                            <w:tblInd w:w="-835"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7.5pt;height:744pt;mso-wrap-distance-left:0pt;mso-wrap-distance-right:0pt;mso-wrap-distance-top:0pt;mso-wrap-distance-bottom:0pt;margin-top:0pt;mso-position-vertical:top;mso-position-vertical-relative:text;margin-left:-13.55pt;mso-position-horizontal:left;mso-position-horizontal-relative:text">
              <v:textbox inset="0in,0in,0in,0in">
                <w:txbxContent>
                  <w:tbl>
                    <w:tblPr>
                      <w:tblW w:w="10350" w:type="dxa"/>
                      <w:jc w:val="start"/>
                      <w:tblInd w:w="-835"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2">
              <wp:simplePos x="0" y="0"/>
              <wp:positionH relativeFrom="column">
                <wp:align>left</wp:align>
              </wp:positionH>
              <wp:positionV relativeFrom="line">
                <wp:posOffset>635</wp:posOffset>
              </wp:positionV>
              <wp:extent cx="6572250" cy="9448800"/>
              <wp:effectExtent l="0" t="0" r="0" b="0"/>
              <wp:wrapNone/>
              <wp:docPr id="2" name="Frame1"/>
              <a:graphic xmlns:a="http://schemas.openxmlformats.org/drawingml/2006/main">
                <a:graphicData uri="http://schemas.microsoft.com/office/word/2010/wordprocessingShape">
                  <wps:wsp>
                    <wps:cNvSpPr txBox="1"/>
                    <wps:spPr>
                      <a:xfrm>
                        <a:off x="0" y="0"/>
                        <a:ext cx="6572250" cy="9448800"/>
                      </a:xfrm>
                      <a:prstGeom prst="rect"/>
                      <a:solidFill>
                        <a:srgbClr val="FFFFFF"/>
                      </a:solidFill>
                    </wps:spPr>
                    <wps:txbx>
                      <w:txbxContent>
                        <w:tbl>
                          <w:tblPr>
                            <w:tblW w:w="10350" w:type="dxa"/>
                            <w:jc w:val="start"/>
                            <w:tblInd w:w="-835"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7.5pt;height:744pt;mso-wrap-distance-left:0pt;mso-wrap-distance-right:0pt;mso-wrap-distance-top:0pt;mso-wrap-distance-bottom:0pt;margin-top:0pt;mso-position-vertical:top;mso-position-vertical-relative:text;margin-left:-13.55pt;mso-position-horizontal:left;mso-position-horizontal-relative:text">
              <v:textbox inset="0in,0in,0in,0in">
                <w:txbxContent>
                  <w:tbl>
                    <w:tblPr>
                      <w:tblW w:w="10350" w:type="dxa"/>
                      <w:jc w:val="start"/>
                      <w:tblInd w:w="-835"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4"/>
      <w:numFmt w:val="upperRoman"/>
      <w:lvlText w:val="%1."/>
      <w:lvlJc w:val="start"/>
      <w:pPr>
        <w:tabs>
          <w:tab w:val="num" w:pos="720"/>
        </w:tabs>
        <w:ind w:start="720" w:hanging="720"/>
      </w:pPr>
      <w:rPr>
        <w:u w:val="none"/>
      </w:rPr>
    </w:lvl>
  </w:abstractNum>
  <w:abstractNum w:abstractNumId="4">
    <w:lvl w:ilvl="0">
      <w:start w:val="1"/>
      <w:numFmt w:val="upperRoman"/>
      <w:lvlText w:val="%1.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upperLetter"/>
      <w:lvlText w:val="%2."/>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decimal"/>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3">
      <w:start w:val="1"/>
      <w:numFmt w:val="lowerLetter"/>
      <w:lvlText w:val="%4."/>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000000"/>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shadow w:val="false"/>
        <w:u w:val="none"/>
        <w:vanish w:val="false"/>
        <w:color w:val="0000FF"/>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0000FF"/>
      </w:rPr>
    </w:lvl>
  </w:abstractNum>
  <w:abstractNum w:abstractNumId="5">
    <w:lvl w:ilvl="0">
      <w:start w:val="1"/>
      <w:numFmt w:val="decimal"/>
      <w:lvlText w:val="%1."/>
      <w:lvlJc w:val="start"/>
      <w:pPr>
        <w:tabs>
          <w:tab w:val="num" w:pos="360"/>
        </w:tabs>
        <w:ind w:start="0" w:hanging="0"/>
      </w:pPr>
    </w:lvl>
  </w:abstractNum>
  <w:abstractNum w:abstractNumId="6">
    <w:lvl w:ilvl="0">
      <w:start w:val="1"/>
      <w:numFmt w:val="decimal"/>
      <w:lvlText w:val="%1."/>
      <w:lvlJc w:val="start"/>
      <w:pPr>
        <w:tabs>
          <w:tab w:val="num" w:pos="1800"/>
        </w:tabs>
        <w:ind w:start="0" w:firstLine="1440"/>
      </w:pPr>
      <w:rPr>
        <w:i w:val="false"/>
        <w:u w:val="none"/>
        <w:b w:val="false"/>
        <w:color w:val="auto"/>
      </w:rPr>
    </w:lvl>
  </w:abstractNum>
  <w:abstractNum w:abstractNumId="7">
    <w:lvl w:ilvl="0">
      <w:start w:val="3"/>
      <w:numFmt w:val="lowerRoman"/>
      <w:lvlText w:val="(%1)"/>
      <w:lvlJc w:val="start"/>
      <w:pPr>
        <w:tabs>
          <w:tab w:val="num" w:pos="1440"/>
        </w:tabs>
        <w:ind w:start="1440" w:hanging="720"/>
      </w:pPr>
      <w:rPr>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5"/>
  <w:defaultTabStop w:val="720"/>
  <w:autoHyphenation w:val="true"/>
  <w:hyphenationZone w:val="0"/>
  <w:footnotePr>
    <w:numFmt w:val="decimal"/>
    <w:footnote w:id="0"/>
    <w:footnote w:id="1"/>
  </w:footnotePr>
  <w:compat>
    <w:compatSetting w:name="compatibilityMode" w:uri="http://schemas.microsoft.com/office/word" w:val="11"/>
  </w:compat>
  <w:docVars>
    <w:docVar w:name="chkCopyTitle" w:val="False"/>
    <w:docVar w:name="chkOptFName" w:val="False"/>
    <w:docVar w:name="cmbAttyName" w:val="1933"/>
    <w:docVar w:name="cmbAuthorLists" w:val="-100"/>
    <w:docVar w:name="cmbCrossActions" w:val="none"/>
    <w:docVar w:name="cmbDated" w:val="0"/>
    <w:docVar w:name="cmbOptBodyTextAlignment" w:val="0"/>
    <w:docVar w:name="cmbOptDated" w:val="0"/>
    <w:docVar w:name="cmbOptFonts" w:val="Times New Roman"/>
    <w:docVar w:name="cmbOptOffices" w:val="Los Angeles"/>
    <w:docVar w:name="cmbOptPPaper" w:val="28-line"/>
    <w:docVar w:name="cmbOptSigType" w:val="Standard"/>
    <w:docVar w:name="cmbPrefLists" w:val="-100"/>
    <w:docVar w:name="cmbSetAuthorPref" w:val="1935"/>
    <w:docVar w:name="lstAttyList" w:val="1935"/>
    <w:docVar w:name="lstCourts" w:val="District"/>
    <w:docVar w:name="lstSigType" w:val="Standard"/>
    <w:docVar w:name="OtherCaptionItems" w:val="†"/>
    <w:docVar w:name="packedarray" w:val="C. Stephen Howard†1935|Paul S. Aronzon†1935|Gregory L. Call†1933"/>
    <w:docVar w:name="Restarted" w:val="True"/>
    <w:docVar w:name="tglUseFirmDefaults" w:val="False"/>
    <w:docVar w:name="txtAttyName" w:val="C. Stephen Howard"/>
    <w:docVar w:name="txtAttysFor" w:val="Plaintiff"/>
    <w:docVar w:name="txtCaseNo" w:val="CV-97-1899 PHX RCB"/>
    <w:docVar w:name="txtDPartyNames" w:val="ARTHUR ANDERSEN LLP, an Illinois limited liability partnership,"/>
    <w:docVar w:name="txtDPartyTitle" w:val="Defendant"/>
    <w:docVar w:name="txtJurisdiction" w:val="Arizona"/>
    <w:docVar w:name="txtOptFirstLine" w:val=" 1"/>
    <w:docVar w:name="txtOptFSize" w:val="12"/>
    <w:docVar w:name="txtOptLeftMargin" w:val=" 1.45"/>
    <w:docVar w:name="txtOptRightMargin" w:val=" .5"/>
    <w:docVar w:name="txtPPNames" w:val="CALIFORNIA PUBLIC EMPLOYEES RETIREMENT SYSTEM; DOMINION FUND III; DOMINION HOLDINGS; POMONA CAPITAL; S.P. VENTURE CAPITAL, L.P.; S.P. OFFSHORE VENTURE CAPITAL, L.P.; AND SOF VENTURE CAPITAL, L.P.,"/>
    <w:docVar w:name="txtPPTitle" w:val="Plaintiffs"/>
    <w:docVar w:name="txtRepParties" w:val="SunAmerica Life Insurance Company and SunAmerica Financial Resources, Inc."/>
    <w:docVar w:name="zzmpFixed_PleadingPaperType" w:val="PP28None"/>
    <w:docVar w:name="zzmpFixedCurrentTOCScheme" w:val="Pleading1"/>
    <w:docVar w:name="zzmpFixedCurScheme" w:val="Pleading1"/>
    <w:docVar w:name="zzmpFixedDOC_ID" w:val="LA1:#6203103v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24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spacing w:lineRule="auto" w:line="240"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spacing w:lineRule="auto" w:line="240"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lineRule="auto" w:line="240"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lineRule="auto" w:line="240" w:before="240" w:after="60"/>
      <w:outlineLvl w:val="3"/>
    </w:pPr>
    <w:rPr>
      <w:rFonts w:ascii="Arial" w:hAnsi="Arial" w:cs="Arial"/>
      <w:b/>
    </w:rPr>
  </w:style>
  <w:style w:type="paragraph" w:styleId="Heading5">
    <w:name w:val="heading 5"/>
    <w:basedOn w:val="Normal"/>
    <w:next w:val="Normal"/>
    <w:qFormat/>
    <w:pPr>
      <w:widowControl/>
      <w:numPr>
        <w:ilvl w:val="4"/>
        <w:numId w:val="1"/>
      </w:numPr>
      <w:spacing w:lineRule="auto" w:line="240" w:before="240" w:after="60"/>
      <w:outlineLvl w:val="4"/>
    </w:pPr>
    <w:rPr>
      <w:sz w:val="22"/>
    </w:rPr>
  </w:style>
  <w:style w:type="paragraph" w:styleId="Heading6">
    <w:name w:val="heading 6"/>
    <w:basedOn w:val="Normal"/>
    <w:next w:val="Normal"/>
    <w:qFormat/>
    <w:pPr>
      <w:widowControl/>
      <w:numPr>
        <w:ilvl w:val="5"/>
        <w:numId w:val="1"/>
      </w:numPr>
      <w:spacing w:lineRule="auto" w:line="240" w:before="240" w:after="60"/>
      <w:outlineLvl w:val="5"/>
    </w:pPr>
    <w:rPr>
      <w:i/>
      <w:sz w:val="22"/>
    </w:rPr>
  </w:style>
  <w:style w:type="paragraph" w:styleId="Heading7">
    <w:name w:val="heading 7"/>
    <w:basedOn w:val="Normal"/>
    <w:next w:val="Normal"/>
    <w:qFormat/>
    <w:pPr>
      <w:widowControl/>
      <w:numPr>
        <w:ilvl w:val="6"/>
        <w:numId w:val="1"/>
      </w:numPr>
      <w:spacing w:lineRule="auto" w:line="240"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lineRule="auto" w:line="240"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lineRule="auto" w:line="240"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u w:val="none"/>
    </w:rPr>
  </w:style>
  <w:style w:type="character" w:styleId="WW8Num11z1">
    <w:name w:val="WW8Num11z1"/>
    <w:qFormat/>
    <w:rPr>
      <w:rFonts w:ascii="Courier New" w:hAnsi="Courier New" w:cs="Courier New"/>
      <w:b/>
      <w:u w:val="none"/>
    </w:rPr>
  </w:style>
  <w:style w:type="character" w:styleId="WW8Num11z2">
    <w:name w:val="WW8Num11z2"/>
    <w:qFormat/>
    <w:rPr>
      <w:b w:val="false"/>
      <w:u w:val="none"/>
    </w:rPr>
  </w:style>
  <w:style w:type="character" w:styleId="WW8Num12z0">
    <w:name w:val="WW8Num12z0"/>
    <w:qFormat/>
    <w:rPr>
      <w:u w:val="none"/>
    </w:rPr>
  </w:style>
  <w:style w:type="character" w:styleId="WW8Num13z0">
    <w:name w:val="WW8Num13z0"/>
    <w:qFormat/>
    <w:rPr>
      <w:color w:val="auto"/>
    </w:rPr>
  </w:style>
  <w:style w:type="character" w:styleId="WW8Num14z0">
    <w:name w:val="WW8Num14z0"/>
    <w:qFormat/>
    <w:rPr/>
  </w:style>
  <w:style w:type="character" w:styleId="WW8Num15z0">
    <w:name w:val="WW8Num15z0"/>
    <w:qFormat/>
    <w:rPr/>
  </w:style>
  <w:style w:type="character" w:styleId="WW8Num16z0">
    <w:name w:val="WW8Num16z0"/>
    <w:qFormat/>
    <w:rPr>
      <w:b w:val="false"/>
      <w:i w:val="false"/>
      <w:color w:val="auto"/>
      <w:u w:val="none"/>
    </w:rPr>
  </w:style>
  <w:style w:type="character" w:styleId="WW8Num17z0">
    <w:name w:val="WW8Num17z0"/>
    <w:qFormat/>
    <w:rPr>
      <w:color w:val="auto"/>
    </w:rPr>
  </w:style>
  <w:style w:type="character" w:styleId="WW8Num18z0">
    <w:name w:val="WW8Num18z0"/>
    <w:qFormat/>
    <w:rPr>
      <w:b w:val="false"/>
      <w:i w:val="fals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color w:val="auto"/>
    </w:rPr>
  </w:style>
  <w:style w:type="character" w:styleId="WW8Num25z0">
    <w:name w:val="WW8Num25z0"/>
    <w:qFormat/>
    <w:rPr>
      <w:caps w:val="false"/>
      <w:smallCaps w:val="false"/>
      <w:strike w:val="false"/>
      <w:dstrike w:val="false"/>
      <w:outline w:val="false"/>
      <w:shadow w:val="false"/>
      <w:vanish w:val="false"/>
      <w:position w:val="0"/>
      <w:sz w:val="24"/>
      <w:vertAlign w:val="baseline"/>
    </w:rPr>
  </w:style>
  <w:style w:type="character" w:styleId="WW8Num27z0">
    <w:name w:val="WW8Num27z0"/>
    <w:qFormat/>
    <w:rPr>
      <w:u w:val="none"/>
    </w:rPr>
  </w:style>
  <w:style w:type="character" w:styleId="WW8Num28z0">
    <w:name w:val="WW8Num28z0"/>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28z1">
    <w:name w:val="WW8Num28z1"/>
    <w:qFormat/>
    <w:rPr>
      <w:rFonts w:ascii="Times New Roman" w:hAnsi="Times New Roman" w:cs="Times New Roman"/>
      <w:b w:val="false"/>
      <w:i w:val="false"/>
      <w:caps w:val="false"/>
      <w:smallCaps w:val="false"/>
      <w:strike w:val="false"/>
      <w:dstrike w:val="false"/>
      <w:outline w:val="false"/>
      <w:shadow w:val="false"/>
      <w:vanish w:val="false"/>
      <w:color w:val="0000FF"/>
      <w:position w:val="0"/>
      <w:sz w:val="24"/>
      <w:sz w:val="24"/>
      <w:u w:val="none"/>
      <w:vertAlign w:val="baseline"/>
    </w:rPr>
  </w:style>
  <w:style w:type="character" w:styleId="WW8Num28z2">
    <w:name w:val="WW8Num28z2"/>
    <w:qFormat/>
    <w:rPr>
      <w:rFonts w:ascii="Times New Roman" w:hAnsi="Times New Roman" w:cs="Times New Roman"/>
      <w:b w:val="false"/>
      <w:i w:val="false"/>
      <w:caps w:val="false"/>
      <w:smallCaps w:val="false"/>
      <w:strike w:val="false"/>
      <w:dstrike w:val="false"/>
      <w:outline w:val="false"/>
      <w:shadow w:val="false"/>
      <w:vanish w:val="false"/>
      <w:color w:val="0000FF"/>
      <w:position w:val="0"/>
      <w:sz w:val="24"/>
      <w:sz w:val="24"/>
      <w:vertAlign w:val="baseline"/>
    </w:rPr>
  </w:style>
  <w:style w:type="character" w:styleId="WW8Num28z3">
    <w:name w:val="WW8Num28z3"/>
    <w:qFormat/>
    <w:rPr>
      <w:rFonts w:ascii="Times New Roman" w:hAnsi="Times New Roman" w:cs="Times New Roman"/>
      <w:b w:val="false"/>
      <w:i w:val="false"/>
      <w:caps w:val="false"/>
      <w:smallCaps w:val="false"/>
      <w:strike w:val="false"/>
      <w:dstrike w:val="false"/>
      <w:outline w:val="false"/>
      <w:shadow w:val="false"/>
      <w:vanish w:val="false"/>
      <w:color w:val="0000FF"/>
      <w:position w:val="0"/>
      <w:sz w:val="24"/>
      <w:sz w:val="24"/>
      <w:u w:val="none"/>
      <w:vertAlign w:val="baseline"/>
    </w:rPr>
  </w:style>
  <w:style w:type="character" w:styleId="WW8Num28z4">
    <w:name w:val="WW8Num28z4"/>
    <w:qFormat/>
    <w:rPr>
      <w:rFonts w:ascii="Times New Roman" w:hAnsi="Times New Roman" w:cs="Times New Roman"/>
      <w:caps w:val="false"/>
      <w:smallCaps w:val="false"/>
      <w:strike w:val="false"/>
      <w:dstrike w:val="false"/>
      <w:outline w:val="false"/>
      <w:shadow w:val="false"/>
      <w:vanish w:val="false"/>
      <w:color w:val="0000FF"/>
      <w:position w:val="0"/>
      <w:sz w:val="24"/>
      <w:sz w:val="24"/>
      <w:u w:val="none"/>
      <w:vertAlign w:val="baseline"/>
    </w:rPr>
  </w:style>
  <w:style w:type="character" w:styleId="WW8Num29z0">
    <w:name w:val="WW8Num29z0"/>
    <w:qFormat/>
    <w:rPr>
      <w:u w:val="none"/>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u w:val="none"/>
    </w:rPr>
  </w:style>
  <w:style w:type="character" w:styleId="WW8Num34z0">
    <w:name w:val="WW8Num34z0"/>
    <w:qFormat/>
    <w:rPr/>
  </w:style>
  <w:style w:type="character" w:styleId="WW8Num35z0">
    <w:name w:val="WW8Num35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5z3">
    <w:name w:val="WW8Num35z3"/>
    <w:qFormat/>
    <w:rPr>
      <w:rFonts w:ascii="Times New Roman Bold" w:hAnsi="Times New Roman Bold" w:cs="Times New Roman Bold"/>
      <w:b/>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35z4">
    <w:name w:val="WW8Num35z4"/>
    <w:qFormat/>
    <w:rPr>
      <w:caps w:val="false"/>
      <w:smallCaps w:val="false"/>
      <w:strike w:val="false"/>
      <w:dstrike w:val="false"/>
      <w:outline w:val="false"/>
      <w:shadow w:val="false"/>
      <w:vanish w:val="false"/>
      <w:color w:val="0000FF"/>
      <w:position w:val="0"/>
      <w:sz w:val="24"/>
      <w:u w:val="none"/>
      <w:vertAlign w:val="baseline"/>
    </w:rPr>
  </w:style>
  <w:style w:type="character" w:styleId="WW8Num35z5">
    <w:name w:val="WW8Num35z5"/>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36z0">
    <w:name w:val="WW8Num36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6z2">
    <w:name w:val="WW8Num36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7z0">
    <w:name w:val="WW8Num37z0"/>
    <w:qFormat/>
    <w:rPr>
      <w:b/>
      <w:i w:val="false"/>
      <w:caps w:val="false"/>
      <w:smallCaps w:val="false"/>
      <w:strike w:val="false"/>
      <w:dstrike w:val="false"/>
      <w:shadow w:val="false"/>
      <w:vanish w:val="false"/>
      <w:color w:val="0000FF"/>
      <w:position w:val="0"/>
      <w:sz w:val="24"/>
      <w:u w:val="none"/>
      <w:vertAlign w:val="baseline"/>
    </w:rPr>
  </w:style>
  <w:style w:type="character" w:styleId="WW8Num37z2">
    <w:name w:val="WW8Num37z2"/>
    <w:qFormat/>
    <w:rPr>
      <w:b w:val="false"/>
      <w:i w:val="false"/>
      <w:caps w:val="false"/>
      <w:smallCaps w:val="false"/>
      <w:strike w:val="false"/>
      <w:dstrike w:val="false"/>
      <w:shadow w:val="false"/>
      <w:vanish w:val="false"/>
      <w:color w:val="0000FF"/>
      <w:position w:val="0"/>
      <w:sz w:val="24"/>
      <w:vertAlign w:val="baseline"/>
    </w:rPr>
  </w:style>
  <w:style w:type="character" w:styleId="WW8Num37z3">
    <w:name w:val="WW8Num37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37z4">
    <w:name w:val="WW8Num37z4"/>
    <w:qFormat/>
    <w:rPr>
      <w:caps w:val="false"/>
      <w:smallCaps w:val="false"/>
      <w:strike w:val="false"/>
      <w:dstrike w:val="false"/>
      <w:shadow w:val="false"/>
      <w:vanish w:val="false"/>
      <w:color w:val="0000FF"/>
      <w:position w:val="0"/>
      <w:sz w:val="24"/>
      <w:u w:val="none"/>
      <w:vertAlign w:val="baseline"/>
    </w:rPr>
  </w:style>
  <w:style w:type="character" w:styleId="WW8Num37z7">
    <w:name w:val="WW8Num37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color w:val="auto"/>
    </w:rPr>
  </w:style>
  <w:style w:type="character" w:styleId="WW8Num42z0">
    <w:name w:val="WW8Num42z0"/>
    <w:qFormat/>
    <w:rPr/>
  </w:style>
  <w:style w:type="character" w:styleId="WW8Num44z0">
    <w:name w:val="WW8Num44z0"/>
    <w:qFormat/>
    <w:rPr>
      <w:b w:val="false"/>
      <w:i w:val="false"/>
      <w:color w:val="auto"/>
      <w:u w:val="none"/>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WW8Num51z0">
    <w:name w:val="WW8Num51z0"/>
    <w:qFormat/>
    <w:rPr>
      <w:color w:val="auto"/>
    </w:rPr>
  </w:style>
  <w:style w:type="character" w:styleId="WW8Num52z0">
    <w:name w:val="WW8Num52z0"/>
    <w:qFormat/>
    <w:rPr>
      <w:u w:val="none"/>
    </w:rPr>
  </w:style>
  <w:style w:type="character" w:styleId="WW8Num53z0">
    <w:name w:val="WW8Num53z0"/>
    <w:qFormat/>
    <w:rPr>
      <w:rFonts w:ascii="Times" w:hAnsi="Times" w:cs="Times"/>
      <w:b/>
      <w:i w:val="false"/>
      <w:caps w:val="false"/>
      <w:smallCaps w:val="false"/>
      <w:strike w:val="false"/>
      <w:dstrike w:val="false"/>
      <w:outline w:val="false"/>
      <w:shadow w:val="false"/>
      <w:vanish w:val="false"/>
      <w:color w:val="0000FF"/>
      <w:position w:val="0"/>
      <w:sz w:val="24"/>
      <w:sz w:val="24"/>
      <w:u w:val="none"/>
      <w:vertAlign w:val="baseline"/>
    </w:rPr>
  </w:style>
  <w:style w:type="character" w:styleId="WW8Num53z2">
    <w:name w:val="WW8Num53z2"/>
    <w:qFormat/>
    <w:rPr>
      <w:rFonts w:ascii="Times" w:hAnsi="Times" w:cs="Times"/>
      <w:b w:val="false"/>
      <w:i w:val="false"/>
      <w:caps w:val="false"/>
      <w:smallCaps w:val="false"/>
      <w:strike w:val="false"/>
      <w:dstrike w:val="false"/>
      <w:outline w:val="false"/>
      <w:shadow w:val="false"/>
      <w:vanish w:val="false"/>
      <w:color w:val="0000FF"/>
      <w:position w:val="0"/>
      <w:sz w:val="24"/>
      <w:sz w:val="24"/>
      <w:vertAlign w:val="baseline"/>
    </w:rPr>
  </w:style>
  <w:style w:type="character" w:styleId="WW8Num53z3">
    <w:name w:val="WW8Num53z3"/>
    <w:qFormat/>
    <w:rPr>
      <w:rFonts w:ascii="Times" w:hAnsi="Times" w:cs="Times"/>
      <w:b w:val="false"/>
      <w:i w:val="false"/>
      <w:caps w:val="false"/>
      <w:smallCaps w:val="false"/>
      <w:strike w:val="false"/>
      <w:dstrike w:val="false"/>
      <w:outline w:val="false"/>
      <w:shadow w:val="false"/>
      <w:vanish w:val="false"/>
      <w:color w:val="0000FF"/>
      <w:position w:val="0"/>
      <w:sz w:val="24"/>
      <w:sz w:val="24"/>
      <w:u w:val="none"/>
      <w:vertAlign w:val="baseline"/>
    </w:rPr>
  </w:style>
  <w:style w:type="character" w:styleId="WW8Num53z4">
    <w:name w:val="WW8Num53z4"/>
    <w:qFormat/>
    <w:rPr>
      <w:rFonts w:ascii="Times" w:hAnsi="Times" w:cs="Times"/>
      <w:caps w:val="false"/>
      <w:smallCaps w:val="false"/>
      <w:strike w:val="false"/>
      <w:dstrike w:val="false"/>
      <w:outline w:val="false"/>
      <w:shadow w:val="false"/>
      <w:vanish w:val="false"/>
      <w:color w:val="0000FF"/>
      <w:position w:val="0"/>
      <w:sz w:val="24"/>
      <w:sz w:val="24"/>
      <w:u w:val="none"/>
      <w:vertAlign w:val="baseline"/>
    </w:rPr>
  </w:style>
  <w:style w:type="character" w:styleId="WW8Num54z0">
    <w:name w:val="WW8Num54z0"/>
    <w:qFormat/>
    <w:rPr/>
  </w:style>
  <w:style w:type="character" w:styleId="WW8Num55z0">
    <w:name w:val="WW8Num55z0"/>
    <w:qFormat/>
    <w:rPr>
      <w:b/>
      <w:i w:val="false"/>
      <w:caps w:val="false"/>
      <w:smallCaps w:val="false"/>
      <w:strike w:val="false"/>
      <w:dstrike w:val="false"/>
      <w:shadow w:val="false"/>
      <w:vanish w:val="false"/>
      <w:color w:val="0000FF"/>
      <w:position w:val="0"/>
      <w:sz w:val="24"/>
      <w:u w:val="none"/>
      <w:vertAlign w:val="baseline"/>
    </w:rPr>
  </w:style>
  <w:style w:type="character" w:styleId="WW8Num55z2">
    <w:name w:val="WW8Num55z2"/>
    <w:qFormat/>
    <w:rPr>
      <w:b w:val="false"/>
      <w:i w:val="false"/>
      <w:caps w:val="false"/>
      <w:smallCaps w:val="false"/>
      <w:strike w:val="false"/>
      <w:dstrike w:val="false"/>
      <w:shadow w:val="false"/>
      <w:vanish w:val="false"/>
      <w:color w:val="0000FF"/>
      <w:position w:val="0"/>
      <w:sz w:val="24"/>
      <w:vertAlign w:val="baseline"/>
    </w:rPr>
  </w:style>
  <w:style w:type="character" w:styleId="WW8Num55z3">
    <w:name w:val="WW8Num55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55z4">
    <w:name w:val="WW8Num55z4"/>
    <w:qFormat/>
    <w:rPr>
      <w:caps w:val="false"/>
      <w:smallCaps w:val="false"/>
      <w:strike w:val="false"/>
      <w:dstrike w:val="false"/>
      <w:shadow w:val="false"/>
      <w:vanish w:val="false"/>
      <w:color w:val="0000FF"/>
      <w:position w:val="0"/>
      <w:sz w:val="24"/>
      <w:u w:val="none"/>
      <w:vertAlign w:val="baseline"/>
    </w:rPr>
  </w:style>
  <w:style w:type="character" w:styleId="WW8Num55z7">
    <w:name w:val="WW8Num55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56z0">
    <w:name w:val="WW8Num56z0"/>
    <w:qFormat/>
    <w:rPr>
      <w:b w:val="false"/>
      <w:i w:val="false"/>
      <w:color w:val="auto"/>
      <w:u w:val="none"/>
    </w:rPr>
  </w:style>
  <w:style w:type="character" w:styleId="WW8Num57z0">
    <w:name w:val="WW8Num57z0"/>
    <w:qFormat/>
    <w:rPr>
      <w:b w:val="false"/>
      <w:u w:val="none"/>
    </w:rPr>
  </w:style>
  <w:style w:type="character" w:styleId="WW8Num58z0">
    <w:name w:val="WW8Num58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PageNumber">
    <w:name w:val="page number"/>
    <w:basedOn w:val="DefaultParagraphFont"/>
    <w:rPr>
      <w:sz w:val="24"/>
    </w:rPr>
  </w:style>
  <w:style w:type="character" w:styleId="zzmpTrailerItem">
    <w:name w:val="zzmpTrailerItem"/>
    <w:basedOn w:val="DefaultParagraphFont"/>
    <w:qFormat/>
    <w:rPr>
      <w:sz w:val="16"/>
      <w:effect w:val="blinkBackground"/>
    </w:rPr>
  </w:style>
  <w:style w:type="character" w:styleId="CommentReference">
    <w:name w:val="Comment Reference"/>
    <w:basedOn w:val="DefaultParagraphFont"/>
    <w:qFormat/>
    <w:rPr>
      <w:sz w:val="16"/>
    </w:rPr>
  </w:style>
  <w:style w:type="character" w:styleId="ParaNum">
    <w:name w:val="ParaNum"/>
    <w:basedOn w:val="DefaultParagraphFont"/>
    <w:qFormat/>
    <w:rPr/>
  </w:style>
  <w:style w:type="character" w:styleId="ParagraphNumber">
    <w:name w:val="ParagraphNumber"/>
    <w:basedOn w:val="DefaultParagraphFont"/>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spacing w:lineRule="auto" w:line="240" w:before="240" w:after="60"/>
      <w:jc w:val="center"/>
      <w:outlineLvl w:val="0"/>
    </w:pPr>
    <w:rPr>
      <w:b/>
      <w:kern w:val="2"/>
      <w:sz w:val="32"/>
      <w:lang w:eastAsia="en-US"/>
    </w:rPr>
  </w:style>
  <w:style w:type="paragraph" w:styleId="BodyText">
    <w:name w:val="Body Text"/>
    <w:basedOn w:val="Normal"/>
    <w:pPr>
      <w:widowControl/>
      <w:spacing w:lineRule="exact"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lushLeft">
    <w:name w:val="Flush Left"/>
    <w:basedOn w:val="Normal"/>
    <w:qFormat/>
    <w:pPr>
      <w:widowControl/>
      <w:spacing w:lineRule="auto" w:line="240"/>
    </w:pPr>
    <w:rPr/>
  </w:style>
  <w:style w:type="paragraph" w:styleId="BodyTextContinued">
    <w:name w:val="Body Text Continued"/>
    <w:basedOn w:val="Normal"/>
    <w:next w:val="BodyText"/>
    <w:qFormat/>
    <w:pPr>
      <w:spacing w:lineRule="exact" w:line="480"/>
    </w:pPr>
    <w:rPr/>
  </w:style>
  <w:style w:type="paragraph" w:styleId="Centered">
    <w:name w:val="Centered"/>
    <w:basedOn w:val="Normal"/>
    <w:next w:val="BodyText"/>
    <w:qFormat/>
    <w:pPr>
      <w:spacing w:lineRule="exact" w:line="240" w:before="0" w:after="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z w:val="20"/>
    </w:rPr>
  </w:style>
  <w:style w:type="paragraph" w:styleId="FootnoteText">
    <w:name w:val="footnote text"/>
    <w:basedOn w:val="Normal"/>
    <w:pPr>
      <w:spacing w:before="0" w:after="60"/>
      <w:ind w:hanging="720" w:start="720" w:end="0"/>
    </w:pPr>
    <w:rPr/>
  </w:style>
  <w:style w:type="paragraph" w:styleId="Header">
    <w:name w:val="header"/>
    <w:basedOn w:val="Normal"/>
    <w:pPr>
      <w:tabs>
        <w:tab w:val="clear" w:pos="720"/>
        <w:tab w:val="center" w:pos="432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4680" w:end="0"/>
    </w:pPr>
    <w:rPr/>
  </w:style>
  <w:style w:type="paragraph" w:styleId="TableofAuthorities">
    <w:name w:val="Table of Authorities"/>
    <w:basedOn w:val="Normal"/>
    <w:next w:val="Normal"/>
    <w:qFormat/>
    <w:pPr>
      <w:tabs>
        <w:tab w:val="clear" w:pos="720"/>
        <w:tab w:val="right" w:pos="9216" w:leader="dot"/>
      </w:tabs>
      <w:spacing w:before="0" w:after="120"/>
      <w:ind w:hanging="360" w:start="360" w:end="1440"/>
    </w:pPr>
    <w:rPr/>
  </w:style>
  <w:style w:type="paragraph" w:styleId="TOAHeading">
    <w:name w:val="TOA Heading"/>
    <w:basedOn w:val="Normal"/>
    <w:next w:val="TableofAuthorities"/>
    <w:qFormat/>
    <w:pPr>
      <w:keepNext w:val="true"/>
      <w:spacing w:before="480" w:after="120"/>
    </w:pPr>
    <w:rPr>
      <w:b/>
      <w:caps/>
      <w:u w:val="single"/>
    </w:rPr>
  </w:style>
  <w:style w:type="paragraph" w:styleId="TOC1">
    <w:name w:val="toc 1"/>
    <w:basedOn w:val="Normal"/>
    <w:next w:val="Normal"/>
    <w:pPr>
      <w:keepLines/>
      <w:widowControl/>
      <w:tabs>
        <w:tab w:val="clear" w:pos="720"/>
        <w:tab w:val="right" w:pos="9389" w:leader="dot"/>
      </w:tabs>
      <w:spacing w:before="0" w:after="240"/>
      <w:ind w:hanging="720" w:start="720" w:end="720"/>
    </w:pPr>
    <w:rPr>
      <w:caps/>
    </w:rPr>
  </w:style>
  <w:style w:type="paragraph" w:styleId="TOC2">
    <w:name w:val="toc 2"/>
    <w:basedOn w:val="Normal"/>
    <w:next w:val="Normal"/>
    <w:pPr>
      <w:keepLines/>
      <w:widowControl/>
      <w:tabs>
        <w:tab w:val="clear" w:pos="720"/>
        <w:tab w:val="right" w:pos="9389" w:leader="dot"/>
      </w:tabs>
      <w:spacing w:before="0" w:after="240"/>
      <w:ind w:hanging="720" w:start="1440" w:end="720"/>
    </w:pPr>
    <w:rPr/>
  </w:style>
  <w:style w:type="paragraph" w:styleId="TOC3">
    <w:name w:val="toc 3"/>
    <w:basedOn w:val="Normal"/>
    <w:next w:val="Normal"/>
    <w:pPr>
      <w:keepLines/>
      <w:widowControl/>
      <w:tabs>
        <w:tab w:val="clear" w:pos="720"/>
        <w:tab w:val="right" w:pos="9389" w:leader="dot"/>
      </w:tabs>
      <w:spacing w:before="0" w:after="240"/>
      <w:ind w:hanging="720" w:start="2160" w:end="720"/>
    </w:pPr>
    <w:rPr/>
  </w:style>
  <w:style w:type="paragraph" w:styleId="CommentText">
    <w:name w:val="Comment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BodyTextDoublePleading">
    <w:name w:val="Body Text Double Pleading"/>
    <w:basedOn w:val="Normal"/>
    <w:qFormat/>
    <w:pPr>
      <w:widowControl/>
      <w:spacing w:lineRule="exact" w:line="480"/>
      <w:ind w:firstLine="1440" w:start="0" w:end="0"/>
    </w:pPr>
    <w:rPr/>
  </w:style>
  <w:style w:type="paragraph" w:styleId="BodyStyleSingleLeft">
    <w:name w:val="Body Style Single Left"/>
    <w:basedOn w:val="BodyText"/>
    <w:qFormat/>
    <w:pPr>
      <w:widowControl/>
      <w:spacing w:lineRule="exact" w:line="240"/>
      <w:ind w:hanging="0" w:start="0" w:end="0"/>
    </w:pPr>
    <w:rPr/>
  </w:style>
  <w:style w:type="paragraph" w:styleId="NumContinue">
    <w:name w:val="Num Continue"/>
    <w:basedOn w:val="BodyText"/>
    <w:qFormat/>
    <w:pPr>
      <w:spacing w:before="0" w:after="240"/>
      <w:ind w:firstLine="1440" w:start="0" w:end="144"/>
      <w:jc w:val="center"/>
    </w:pPr>
    <w:rPr/>
  </w:style>
  <w:style w:type="paragraph" w:styleId="BlockText">
    <w:name w:val="Block Text"/>
    <w:basedOn w:val="Normal"/>
    <w:qFormat/>
    <w:pPr>
      <w:spacing w:lineRule="exact" w:line="480"/>
      <w:ind w:hanging="0" w:start="1440" w:end="1440"/>
    </w:pPr>
    <w:rPr/>
  </w:style>
  <w:style w:type="paragraph" w:styleId="Pleading1L2">
    <w:name w:val="Pleading1_L2"/>
    <w:next w:val="BodyTextDoublePleading"/>
    <w:qFormat/>
    <w:pPr>
      <w:widowControl/>
      <w:numPr>
        <w:ilvl w:val="0"/>
        <w:numId w:val="4"/>
      </w:numPr>
      <w:bidi w:val="0"/>
      <w:spacing w:lineRule="exact" w:line="240" w:before="240" w:after="0"/>
      <w:outlineLvl w:val="1"/>
    </w:pPr>
    <w:rPr>
      <w:rFonts w:ascii="Times New Roman Bold" w:hAnsi="Times New Roman Bold" w:eastAsia="Times New Roman" w:cs="Times New Roman Bold"/>
      <w:b/>
      <w:color w:val="auto"/>
      <w:sz w:val="24"/>
      <w:szCs w:val="20"/>
      <w:u w:val="single"/>
      <w:lang w:val="en-US" w:eastAsia="zh-CN" w:bidi="hi-IN"/>
    </w:rPr>
  </w:style>
  <w:style w:type="paragraph" w:styleId="Pleading1L1">
    <w:name w:val="Pleading1_L1"/>
    <w:next w:val="Pleading1L2"/>
    <w:qFormat/>
    <w:pPr>
      <w:widowControl/>
      <w:numPr>
        <w:ilvl w:val="0"/>
        <w:numId w:val="4"/>
      </w:numPr>
      <w:bidi w:val="0"/>
      <w:spacing w:lineRule="exact" w:line="480"/>
      <w:outlineLvl w:val="0"/>
    </w:pPr>
    <w:rPr>
      <w:rFonts w:ascii="Times New Roman Bold" w:hAnsi="Times New Roman Bold" w:eastAsia="Times New Roman" w:cs="Times New Roman Bold"/>
      <w:b/>
      <w:caps/>
      <w:color w:val="000000"/>
      <w:sz w:val="24"/>
      <w:szCs w:val="20"/>
      <w:lang w:val="en-US" w:eastAsia="zh-CN" w:bidi="hi-IN"/>
    </w:rPr>
  </w:style>
  <w:style w:type="paragraph" w:styleId="Pleading1L3">
    <w:name w:val="Pleading1_L3"/>
    <w:next w:val="BodyTextDoublePleading"/>
    <w:qFormat/>
    <w:pPr>
      <w:widowControl/>
      <w:numPr>
        <w:ilvl w:val="0"/>
        <w:numId w:val="4"/>
      </w:numPr>
      <w:bidi w:val="0"/>
      <w:spacing w:lineRule="exact" w:line="240" w:before="240" w:after="0"/>
      <w:outlineLvl w:val="2"/>
    </w:pPr>
    <w:rPr>
      <w:rFonts w:ascii="Times New Roman Bold" w:hAnsi="Times New Roman Bold" w:eastAsia="Times New Roman" w:cs="Times New Roman Bold"/>
      <w:b/>
      <w:color w:val="auto"/>
      <w:sz w:val="24"/>
      <w:szCs w:val="20"/>
      <w:u w:val="single"/>
      <w:lang w:val="en-US" w:eastAsia="zh-CN" w:bidi="hi-IN"/>
    </w:rPr>
  </w:style>
  <w:style w:type="paragraph" w:styleId="Pleading1L4">
    <w:name w:val="Pleading1_L4"/>
    <w:next w:val="BodyTextDoublePleading"/>
    <w:qFormat/>
    <w:pPr>
      <w:widowControl/>
      <w:numPr>
        <w:ilvl w:val="0"/>
        <w:numId w:val="4"/>
      </w:numPr>
      <w:bidi w:val="0"/>
      <w:spacing w:lineRule="exact" w:line="240" w:before="240" w:after="0"/>
      <w:outlineLvl w:val="3"/>
    </w:pPr>
    <w:rPr>
      <w:rFonts w:ascii="Times New Roman Bold" w:hAnsi="Times New Roman Bold" w:eastAsia="Times New Roman" w:cs="Times New Roman Bold"/>
      <w:b/>
      <w:color w:val="auto"/>
      <w:sz w:val="24"/>
      <w:szCs w:val="20"/>
      <w:u w:val="single"/>
      <w:lang w:val="en-CA" w:eastAsia="zh-CN" w:bidi="hi-IN"/>
    </w:rPr>
  </w:style>
  <w:style w:type="paragraph" w:styleId="Pleading1L5">
    <w:name w:val="Pleading1_L5"/>
    <w:basedOn w:val="Pleading1L4"/>
    <w:next w:val="BodyText"/>
    <w:qFormat/>
    <w:pPr>
      <w:numPr>
        <w:ilvl w:val="0"/>
        <w:numId w:val="4"/>
      </w:numPr>
      <w:outlineLvl w:val="4"/>
    </w:pPr>
    <w:rPr/>
  </w:style>
  <w:style w:type="paragraph" w:styleId="Pleading1L6">
    <w:name w:val="Pleading1_L6"/>
    <w:basedOn w:val="Pleading1L5"/>
    <w:next w:val="BodyText"/>
    <w:qFormat/>
    <w:pPr>
      <w:numPr>
        <w:ilvl w:val="0"/>
        <w:numId w:val="4"/>
      </w:numPr>
      <w:outlineLvl w:val="5"/>
    </w:pPr>
    <w:rPr/>
  </w:style>
  <w:style w:type="paragraph" w:styleId="Pleading1L7">
    <w:name w:val="Pleading1_L7"/>
    <w:basedOn w:val="Pleading1L6"/>
    <w:next w:val="BodyText"/>
    <w:qFormat/>
    <w:pPr>
      <w:numPr>
        <w:ilvl w:val="0"/>
        <w:numId w:val="4"/>
      </w:numPr>
      <w:outlineLvl w:val="6"/>
    </w:pPr>
    <w:rPr/>
  </w:style>
  <w:style w:type="paragraph" w:styleId="Pleading1L8">
    <w:name w:val="Pleading1_L8"/>
    <w:basedOn w:val="Pleading1L7"/>
    <w:next w:val="BodyText"/>
    <w:qFormat/>
    <w:pPr>
      <w:numPr>
        <w:ilvl w:val="0"/>
        <w:numId w:val="4"/>
      </w:numPr>
      <w:outlineLvl w:val="7"/>
    </w:pPr>
    <w:rPr/>
  </w:style>
  <w:style w:type="paragraph" w:styleId="Pleading1L9">
    <w:name w:val="Pleading1_L9"/>
    <w:basedOn w:val="Pleading1L8"/>
    <w:next w:val="BodyText"/>
    <w:qFormat/>
    <w:pPr>
      <w:numPr>
        <w:ilvl w:val="0"/>
        <w:numId w:val="4"/>
      </w:numPr>
      <w:outlineLvl w:val="8"/>
    </w:pPr>
    <w:rPr/>
  </w:style>
  <w:style w:type="paragraph" w:styleId="FlushLeftDoublePleading">
    <w:name w:val="Flush Left Double Pleading"/>
    <w:basedOn w:val="Normal"/>
    <w:qFormat/>
    <w:pPr>
      <w:widowControl/>
      <w:spacing w:lineRule="exact" w:line="480" w:before="240" w:after="0"/>
    </w:pPr>
    <w:rPr/>
  </w:style>
  <w:style w:type="paragraph" w:styleId="centerboldunderline24">
    <w:name w:val="center bold underline 24"/>
    <w:basedOn w:val="Normal"/>
    <w:qFormat/>
    <w:pPr>
      <w:widowControl/>
      <w:spacing w:lineRule="exact" w:line="480"/>
      <w:jc w:val="center"/>
    </w:pPr>
    <w:rPr>
      <w:b/>
      <w:u w:val="single"/>
      <w:lang w:eastAsia="en-US"/>
    </w:rPr>
  </w:style>
  <w:style w:type="paragraph" w:styleId="hangingindent12">
    <w:name w:val="hanging indent 12"/>
    <w:basedOn w:val="Normal"/>
    <w:qFormat/>
    <w:pPr>
      <w:spacing w:before="240" w:after="0"/>
      <w:ind w:hanging="1440" w:start="2880" w:end="0"/>
    </w:pPr>
    <w:rPr/>
  </w:style>
  <w:style w:type="paragraph" w:styleId="StandardL1">
    <w:name w:val="Standard_L1"/>
    <w:basedOn w:val="Normal"/>
    <w:qFormat/>
    <w:pPr>
      <w:widowControl/>
      <w:spacing w:lineRule="exact" w:line="480"/>
      <w:ind w:firstLine="720" w:start="720" w:end="0"/>
      <w:outlineLvl w:val="0"/>
    </w:pPr>
    <w:rPr/>
  </w:style>
  <w:style w:type="paragraph" w:styleId="HangingIndentSignature">
    <w:name w:val="Hanging Indent Signature"/>
    <w:qFormat/>
    <w:pPr>
      <w:widowControl/>
      <w:tabs>
        <w:tab w:val="clear" w:pos="720"/>
        <w:tab w:val="left" w:pos="4320" w:leader="none"/>
      </w:tabs>
      <w:bidi w:val="0"/>
      <w:spacing w:before="480" w:after="0"/>
      <w:ind w:hanging="720" w:start="5040" w:end="0"/>
    </w:pPr>
    <w:rPr>
      <w:rFonts w:ascii="Times New Roman" w:hAnsi="Times New Roman" w:eastAsia="Times New Roman" w:cs="Times New Roman"/>
      <w:color w:val="auto"/>
      <w:sz w:val="24"/>
      <w:szCs w:val="20"/>
      <w:lang w:val="en-CA" w:eastAsia="zh-CN" w:bidi="hi-IN"/>
    </w:rPr>
  </w:style>
  <w:style w:type="paragraph" w:styleId="bodytextdouble">
    <w:name w:val="body text double"/>
    <w:basedOn w:val="Normal"/>
    <w:qFormat/>
    <w:pPr>
      <w:widowControl/>
      <w:numPr>
        <w:ilvl w:val="0"/>
        <w:numId w:val="5"/>
      </w:numPr>
    </w:pPr>
    <w:rPr/>
  </w:style>
  <w:style w:type="paragraph" w:styleId="BodyTextIndent">
    <w:name w:val="Body Text Indent"/>
    <w:basedOn w:val="Normal"/>
    <w:pPr>
      <w:spacing w:before="0" w:after="120"/>
      <w:ind w:hanging="0" w:start="360" w:end="0"/>
    </w:pPr>
    <w:rPr/>
  </w:style>
  <w:style w:type="paragraph" w:styleId="LabelAddress">
    <w:name w:val="LabelAddress"/>
    <w:basedOn w:val="Normal"/>
    <w:qFormat/>
    <w:pPr>
      <w:widowControl/>
      <w:spacing w:lineRule="auto" w:line="240"/>
      <w:ind w:hanging="0" w:start="720" w:end="0"/>
    </w:pPr>
    <w:rPr/>
  </w:style>
  <w:style w:type="paragraph" w:styleId="BodyTextCentered">
    <w:name w:val="Body Text Centered"/>
    <w:basedOn w:val="Normal"/>
    <w:qFormat/>
    <w:pPr>
      <w:widowControl/>
      <w:spacing w:lineRule="exact" w:line="480" w:before="0" w:after="240"/>
      <w:jc w:val="center"/>
      <w:outlineLvl w:val="0"/>
    </w:pPr>
    <w:rPr>
      <w:b/>
      <w:u w:val="single"/>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PleadCA.dot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2001-05-07T16:39:00Z</dcterms:created>
  <dc:creator>KValenti</dc:creator>
  <dc:description/>
  <dc:language>en-CA</dc:language>
  <cp:lastModifiedBy>VMoody</cp:lastModifiedBy>
  <cp:lastPrinted>2001-05-07T12:13:00Z</cp:lastPrinted>
  <dcterms:modified xsi:type="dcterms:W3CDTF">2001-05-08T15:48:00Z</dcterms:modified>
  <cp:revision>8</cp:revision>
  <dc:subject/>
  <dc:title>Word 8.0 Generic Pleading Template, rev. 4/3/97</dc:title>
</cp:coreProperties>
</file>