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 xml:space="preserve">MILBANK, TWEED, HADLEY &amp; McCLOY </w:t>
      </w:r>
      <w:r>
        <w:rPr>
          <w:color w:val="000000"/>
          <w:sz w:val="20"/>
        </w:rPr>
        <w:t>LLP</w:t>
      </w:r>
    </w:p>
    <w:p>
      <w:pPr>
        <w:pStyle w:val="Normal"/>
        <w:rPr>
          <w:color w:val="000000"/>
        </w:rPr>
      </w:pPr>
      <w:r>
        <w:rPr>
          <w:color w:val="000000"/>
        </w:rPr>
        <w:t>Paul S. Aronzon (#088781)</w:t>
      </w:r>
    </w:p>
    <w:p>
      <w:pPr>
        <w:pStyle w:val="Normal"/>
        <w:rPr>
          <w:color w:val="000000"/>
        </w:rPr>
      </w:pPr>
      <w:r>
        <w:rPr>
          <w:color w:val="000000"/>
        </w:rPr>
        <w:t>Robert Jay Moore (#077495)</w:t>
      </w:r>
    </w:p>
    <w:p>
      <w:pPr>
        <w:pStyle w:val="Normal"/>
        <w:rPr>
          <w:color w:val="000000"/>
        </w:rPr>
      </w:pPr>
      <w:r>
        <w:rPr>
          <w:color w:val="000000"/>
        </w:rPr>
        <w:t>601 South Figueroa Street, Suite 3000</w:t>
      </w:r>
    </w:p>
    <w:p>
      <w:pPr>
        <w:pStyle w:val="Normal"/>
        <w:rPr>
          <w:color w:val="000000"/>
        </w:rPr>
      </w:pPr>
      <w:r>
        <w:rPr>
          <w:color w:val="000000"/>
        </w:rPr>
        <w:t>Los Angeles, California  90017</w:t>
      </w:r>
    </w:p>
    <w:p>
      <w:pPr>
        <w:pStyle w:val="Normal"/>
        <w:rPr>
          <w:color w:val="000000"/>
        </w:rPr>
      </w:pPr>
      <w:r>
        <w:rPr>
          <w:color w:val="000000"/>
        </w:rPr>
        <w:t>Telephone:  213/892-4000</w:t>
      </w:r>
    </w:p>
    <w:p>
      <w:pPr>
        <w:pStyle w:val="Normal"/>
        <w:rPr>
          <w:color w:val="000000"/>
        </w:rPr>
      </w:pPr>
      <w:r>
        <w:rPr>
          <w:color w:val="000000"/>
        </w:rPr>
        <w:t>Facsimile:  213/629-5063</w:t>
      </w:r>
    </w:p>
    <w:p>
      <w:pPr>
        <w:pStyle w:val="Normal"/>
        <w:rPr>
          <w:color w:val="000000"/>
        </w:rPr>
      </w:pPr>
      <w:r>
        <w:rPr>
          <w:color w:val="000000"/>
        </w:rPr>
      </w:r>
    </w:p>
    <w:p>
      <w:pPr>
        <w:pStyle w:val="Normal"/>
        <w:rPr>
          <w:color w:val="000000"/>
        </w:rPr>
      </w:pPr>
      <w:r>
        <w:rPr>
          <w:color w:val="000000"/>
        </w:rPr>
        <w:t>Proposed Counsel to the Official Committee of Unsecured Creditors</w:t>
      </w:r>
    </w:p>
    <w:p>
      <w:pPr>
        <w:pStyle w:val="Normal"/>
        <w:rPr>
          <w:color w:val="000000"/>
        </w:rPr>
      </w:pPr>
      <w:r>
        <w:rPr>
          <w:color w:val="000000"/>
        </w:rPr>
        <w:t>Of Pacific Gas and Electric Company</w:t>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spacing w:lineRule="exact" w:line="300"/>
        <w:jc w:val="center"/>
        <w:rPr>
          <w:b/>
          <w:color w:val="000000"/>
        </w:rPr>
      </w:pPr>
      <w:r>
        <w:rPr>
          <w:b/>
          <w:color w:val="000000"/>
        </w:rPr>
        <w:t>UNITED STATES BANKRUPTCY COURT</w:t>
      </w:r>
    </w:p>
    <w:p>
      <w:pPr>
        <w:pStyle w:val="Normal"/>
        <w:spacing w:lineRule="exact" w:line="300"/>
        <w:jc w:val="center"/>
        <w:rPr>
          <w:b/>
          <w:color w:val="000000"/>
        </w:rPr>
      </w:pPr>
      <w:r>
        <w:rPr>
          <w:b/>
          <w:color w:val="000000"/>
        </w:rPr>
        <w:t>NORTHERN DISTRICT OF CALIFORNIA</w:t>
      </w:r>
    </w:p>
    <w:p>
      <w:pPr>
        <w:pStyle w:val="Normal"/>
        <w:spacing w:lineRule="exact" w:line="300"/>
        <w:jc w:val="center"/>
        <w:rPr>
          <w:b/>
          <w:color w:val="000000"/>
        </w:rPr>
      </w:pPr>
      <w:r>
        <w:rPr>
          <w:b/>
          <w:color w:val="000000"/>
        </w:rPr>
        <w:t>SAN FRANCISCO DIVISION</w:t>
      </w:r>
    </w:p>
    <w:p>
      <w:pPr>
        <w:pStyle w:val="Normal"/>
        <w:rPr>
          <w:b/>
          <w:color w:val="000000"/>
        </w:rPr>
      </w:pPr>
      <w:r>
        <w:rPr>
          <w:b/>
          <w:color w:val="000000"/>
        </w:rPr>
      </w:r>
    </w:p>
    <w:p>
      <w:pPr>
        <w:pStyle w:val="Normal"/>
        <w:rPr>
          <w:color w:val="000000"/>
        </w:rPr>
      </w:pPr>
      <w:r>
        <w:rPr>
          <w:color w:val="000000"/>
        </w:rPr>
      </w:r>
    </w:p>
    <w:p>
      <w:pPr>
        <w:pStyle w:val="Normal"/>
        <w:rPr>
          <w:color w:val="000000"/>
        </w:rPr>
      </w:pPr>
      <w:r>
        <w:rPr>
          <w:color w:val="000000"/>
        </w:rPr>
      </w:r>
    </w:p>
    <w:tbl>
      <w:tblPr>
        <w:tblW w:w="9720" w:type="dxa"/>
        <w:jc w:val="start"/>
        <w:tblInd w:w="-72" w:type="dxa"/>
        <w:tblLayout w:type="fixed"/>
        <w:tblCellMar>
          <w:top w:w="0" w:type="dxa"/>
          <w:start w:w="108" w:type="dxa"/>
          <w:bottom w:w="0" w:type="dxa"/>
          <w:end w:w="108" w:type="dxa"/>
        </w:tblCellMar>
      </w:tblPr>
      <w:tblGrid>
        <w:gridCol w:w="4590"/>
        <w:gridCol w:w="5130"/>
      </w:tblGrid>
      <w:tr>
        <w:trPr/>
        <w:tc>
          <w:tcPr>
            <w:tcW w:w="4590" w:type="dxa"/>
            <w:tcBorders>
              <w:bottom w:val="single" w:sz="4" w:space="0" w:color="000000"/>
              <w:end w:val="single" w:sz="4" w:space="0" w:color="000000"/>
            </w:tcBorders>
          </w:tcPr>
          <w:p>
            <w:pPr>
              <w:pStyle w:val="Normal"/>
              <w:tabs>
                <w:tab w:val="clear" w:pos="720"/>
                <w:tab w:val="left" w:pos="1710" w:leader="none"/>
                <w:tab w:val="left" w:pos="1800" w:leader="none"/>
              </w:tabs>
              <w:ind w:end="144"/>
              <w:rPr>
                <w:color w:val="000000"/>
              </w:rPr>
            </w:pPr>
            <w:r>
              <w:rPr>
                <w:color w:val="000000"/>
              </w:rPr>
              <w:t>In re:</w:t>
            </w:r>
          </w:p>
          <w:p>
            <w:pPr>
              <w:pStyle w:val="Normal"/>
              <w:tabs>
                <w:tab w:val="clear" w:pos="720"/>
                <w:tab w:val="left" w:pos="1710" w:leader="none"/>
                <w:tab w:val="left" w:pos="1800" w:leader="none"/>
              </w:tabs>
              <w:ind w:end="144"/>
              <w:rPr>
                <w:color w:val="000000"/>
              </w:rPr>
            </w:pPr>
            <w:r>
              <w:rPr>
                <w:color w:val="000000"/>
              </w:rPr>
            </w:r>
          </w:p>
          <w:p>
            <w:pPr>
              <w:pStyle w:val="Normal"/>
              <w:tabs>
                <w:tab w:val="clear" w:pos="720"/>
                <w:tab w:val="left" w:pos="1710" w:leader="none"/>
                <w:tab w:val="left" w:pos="1800" w:leader="none"/>
              </w:tabs>
              <w:ind w:end="144"/>
              <w:rPr/>
            </w:pPr>
            <w:r>
              <w:rPr>
                <w:b/>
                <w:color w:val="000000"/>
              </w:rPr>
              <w:t xml:space="preserve">PACIFIC GAS AND ELECTRIC COMPANY, </w:t>
            </w:r>
            <w:r>
              <w:rPr>
                <w:color w:val="000000"/>
              </w:rPr>
              <w:t>a California corporation,</w:t>
            </w:r>
          </w:p>
          <w:p>
            <w:pPr>
              <w:pStyle w:val="Normal"/>
              <w:tabs>
                <w:tab w:val="clear" w:pos="720"/>
                <w:tab w:val="left" w:pos="1710" w:leader="none"/>
                <w:tab w:val="left" w:pos="1800" w:leader="none"/>
              </w:tabs>
              <w:ind w:end="144"/>
              <w:rPr>
                <w:color w:val="000000"/>
              </w:rPr>
            </w:pPr>
            <w:r>
              <w:rPr>
                <w:color w:val="000000"/>
              </w:rPr>
            </w:r>
          </w:p>
          <w:p>
            <w:pPr>
              <w:pStyle w:val="Normal"/>
              <w:tabs>
                <w:tab w:val="clear" w:pos="720"/>
                <w:tab w:val="left" w:pos="1962" w:leader="none"/>
              </w:tabs>
              <w:ind w:end="144"/>
              <w:rPr>
                <w:color w:val="000000"/>
              </w:rPr>
            </w:pPr>
            <w:r>
              <w:rPr>
                <w:color w:val="000000"/>
              </w:rPr>
              <w:tab/>
              <w:t>Debtor.</w:t>
            </w:r>
          </w:p>
          <w:p>
            <w:pPr>
              <w:pStyle w:val="Normal"/>
              <w:tabs>
                <w:tab w:val="clear" w:pos="720"/>
                <w:tab w:val="left" w:pos="1962" w:leader="none"/>
              </w:tabs>
              <w:ind w:end="144"/>
              <w:rPr>
                <w:color w:val="000000"/>
              </w:rPr>
            </w:pPr>
            <w:r>
              <w:rPr>
                <w:color w:val="000000"/>
              </w:rPr>
            </w:r>
          </w:p>
          <w:p>
            <w:pPr>
              <w:pStyle w:val="Normal"/>
              <w:tabs>
                <w:tab w:val="clear" w:pos="720"/>
                <w:tab w:val="left" w:pos="1962" w:leader="none"/>
              </w:tabs>
              <w:ind w:end="144"/>
              <w:rPr>
                <w:color w:val="000000"/>
              </w:rPr>
            </w:pPr>
            <w:r>
              <w:rPr>
                <w:color w:val="000000"/>
              </w:rPr>
            </w:r>
          </w:p>
          <w:p>
            <w:pPr>
              <w:pStyle w:val="Normal"/>
              <w:tabs>
                <w:tab w:val="clear" w:pos="720"/>
                <w:tab w:val="left" w:pos="1962" w:leader="none"/>
              </w:tabs>
              <w:ind w:end="144"/>
              <w:rPr>
                <w:color w:val="000000"/>
              </w:rPr>
            </w:pPr>
            <w:r>
              <w:rPr>
                <w:color w:val="000000"/>
              </w:rPr>
            </w:r>
          </w:p>
          <w:p>
            <w:pPr>
              <w:pStyle w:val="Normal"/>
              <w:tabs>
                <w:tab w:val="clear" w:pos="720"/>
                <w:tab w:val="left" w:pos="1962" w:leader="none"/>
              </w:tabs>
              <w:ind w:end="144"/>
              <w:rPr>
                <w:color w:val="000000"/>
              </w:rPr>
            </w:pPr>
            <w:r>
              <w:rPr>
                <w:color w:val="000000"/>
              </w:rPr>
              <w:t>Federal I.D. No. 94-0742640</w:t>
            </w:r>
          </w:p>
        </w:tc>
        <w:tc>
          <w:tcPr>
            <w:tcW w:w="5130" w:type="dxa"/>
            <w:tcBorders/>
          </w:tcPr>
          <w:p>
            <w:pPr>
              <w:pStyle w:val="FlushLeft"/>
              <w:ind w:start="288" w:end="288"/>
              <w:rPr>
                <w:color w:val="000000"/>
              </w:rPr>
            </w:pPr>
            <w:r>
              <w:rPr>
                <w:color w:val="000000"/>
              </w:rPr>
              <w:t>Case No. 01-30923-DM</w:t>
            </w:r>
          </w:p>
          <w:p>
            <w:pPr>
              <w:pStyle w:val="FlushLeft"/>
              <w:ind w:start="288" w:end="288"/>
              <w:rPr>
                <w:color w:val="000000"/>
              </w:rPr>
            </w:pPr>
            <w:r>
              <w:rPr>
                <w:color w:val="000000"/>
              </w:rPr>
            </w:r>
          </w:p>
          <w:p>
            <w:pPr>
              <w:pStyle w:val="FlushLeft"/>
              <w:ind w:start="288" w:end="288"/>
              <w:rPr>
                <w:color w:val="000000"/>
              </w:rPr>
            </w:pPr>
            <w:r>
              <w:rPr>
                <w:color w:val="000000"/>
              </w:rPr>
              <w:t>Chapter 11</w:t>
            </w:r>
          </w:p>
          <w:p>
            <w:pPr>
              <w:pStyle w:val="FlushLeft"/>
              <w:ind w:start="288" w:end="288"/>
              <w:rPr>
                <w:color w:val="000000"/>
              </w:rPr>
            </w:pPr>
            <w:r>
              <w:rPr>
                <w:color w:val="000000"/>
              </w:rPr>
            </w:r>
          </w:p>
          <w:p>
            <w:pPr>
              <w:pStyle w:val="FlushLeft"/>
              <w:ind w:start="288" w:end="288"/>
              <w:rPr>
                <w:color w:val="000000"/>
              </w:rPr>
            </w:pPr>
            <w:r>
              <w:rPr/>
              <w:t>[proposed]</w:t>
            </w:r>
            <w:r>
              <w:rPr>
                <w:b/>
              </w:rPr>
              <w:t xml:space="preserve"> ORDER PERMITTING TRADING IN AND PUBLISHING RESEARCH WITH RESPECT TO AFFECTED SECURITIES UPON ESTABLISHMENT OF ETHICAL WALL PROCEDURES</w:t>
            </w:r>
          </w:p>
          <w:p>
            <w:pPr>
              <w:pStyle w:val="FlushLeft"/>
              <w:ind w:start="288" w:end="288"/>
              <w:rPr>
                <w:color w:val="000000"/>
              </w:rPr>
            </w:pPr>
            <w:r>
              <w:rPr>
                <w:color w:val="000000"/>
              </w:rPr>
            </w:r>
          </w:p>
          <w:p>
            <w:pPr>
              <w:pStyle w:val="FlushLeft"/>
              <w:ind w:start="288" w:end="288"/>
              <w:jc w:val="center"/>
              <w:rPr/>
            </w:pPr>
            <w:r>
              <w:rPr>
                <w:color w:val="000000"/>
                <w:u w:val="single"/>
              </w:rPr>
              <w:t>Hearing</w:t>
            </w:r>
            <w:r>
              <w:rPr>
                <w:color w:val="000000"/>
              </w:rPr>
              <w:t>:</w:t>
            </w:r>
          </w:p>
          <w:p>
            <w:pPr>
              <w:pStyle w:val="FlushLeft"/>
              <w:ind w:start="288" w:end="288"/>
              <w:rPr>
                <w:color w:val="000000"/>
              </w:rPr>
            </w:pPr>
            <w:r>
              <w:rPr>
                <w:color w:val="000000"/>
              </w:rPr>
            </w:r>
          </w:p>
          <w:p>
            <w:pPr>
              <w:pStyle w:val="FlushLeft"/>
              <w:ind w:start="288" w:end="288"/>
              <w:rPr>
                <w:color w:val="000000"/>
              </w:rPr>
            </w:pPr>
            <w:r>
              <w:rPr>
                <w:color w:val="000000"/>
              </w:rPr>
              <w:t>Date:</w:t>
              <w:tab/>
              <w:t>[To Be Set]</w:t>
            </w:r>
          </w:p>
          <w:p>
            <w:pPr>
              <w:pStyle w:val="FlushLeft"/>
              <w:ind w:start="288" w:end="288"/>
              <w:rPr>
                <w:color w:val="000000"/>
              </w:rPr>
            </w:pPr>
            <w:r>
              <w:rPr>
                <w:color w:val="000000"/>
              </w:rPr>
              <w:t>Time:</w:t>
              <w:tab/>
              <w:t>[To Be Set]</w:t>
            </w:r>
          </w:p>
          <w:p>
            <w:pPr>
              <w:pStyle w:val="FlushLeft"/>
              <w:ind w:start="288" w:end="288"/>
              <w:rPr/>
            </w:pPr>
            <w:r>
              <w:rPr>
                <w:color w:val="000000"/>
              </w:rPr>
              <w:t>Place:</w:t>
              <w:tab/>
              <w:t>235 Pine Street, 22</w:t>
            </w:r>
            <w:r>
              <w:rPr>
                <w:color w:val="000000"/>
                <w:vertAlign w:val="superscript"/>
              </w:rPr>
              <w:t>nd</w:t>
            </w:r>
            <w:r>
              <w:rPr>
                <w:color w:val="000000"/>
              </w:rPr>
              <w:t xml:space="preserve"> Floor</w:t>
              <w:br/>
              <w:tab/>
              <w:tab/>
              <w:t>San Francisco, CA</w:t>
              <w:br/>
            </w:r>
          </w:p>
          <w:p>
            <w:pPr>
              <w:pStyle w:val="FlushLeft"/>
              <w:ind w:start="288" w:end="288"/>
              <w:jc w:val="center"/>
              <w:rPr>
                <w:color w:val="000000"/>
              </w:rPr>
            </w:pPr>
            <w:r>
              <w:rPr/>
              <w:t>[Motion For Order Shortening Time Filed Concurrently]</w:t>
            </w:r>
          </w:p>
        </w:tc>
      </w:tr>
    </w:tbl>
    <w:p>
      <w:pPr>
        <w:pStyle w:val="Normal"/>
        <w:spacing w:lineRule="exact" w:line="480"/>
        <w:ind w:firstLine="1440" w:end="0"/>
        <w:rPr/>
      </w:pPr>
      <w:r>
        <w:rPr/>
      </w:r>
    </w:p>
    <w:p>
      <w:pPr>
        <w:pStyle w:val="Normal"/>
        <w:spacing w:lineRule="exact" w:line="480"/>
        <w:ind w:firstLine="1440" w:end="0"/>
        <w:rPr/>
      </w:pPr>
      <w:r>
        <w:rPr/>
        <w:t>Upon the motion (the "Motion") of the Official Committee of Unsecured Creditors (the "Committee") of Pacific Gas and Electric Company (the "Debtor") for an order permitting members of the Committee to publish research and trade in the Affected Securities and the Affected Commodities (as defined in the Motion) upon establishment of certain "ethical wall" procedures (the "Ethical Wall Procedures"), and due and proper notice of the Motion having been given, and after due deliberation, and sufficient cause appearing therefor, it is hereby found and</w:t>
      </w:r>
    </w:p>
    <w:p>
      <w:pPr>
        <w:pStyle w:val="Normal"/>
        <w:spacing w:lineRule="exact" w:line="480"/>
        <w:ind w:firstLine="1440" w:end="0"/>
        <w:rPr/>
      </w:pPr>
      <w:r>
        <w:rPr/>
        <w:t xml:space="preserve">ORDERED, that any Committee member acting in any capacity will not be violating its fiduciary duties as a Committee member and, accordingly, will not subject its claims to possible disallowance, subordination, or other adverse treatment, if any such Committee member and/or its affiliates publishes research and/or trades in the Debtor's Affected Securities and/or in the Affected Commodities during the pendency of this case, (the “Trading Entity”) </w:t>
      </w:r>
      <w:r>
        <w:rPr>
          <w:u w:val="single"/>
        </w:rPr>
        <w:t>provided</w:t>
      </w:r>
      <w:r>
        <w:rPr/>
        <w:t xml:space="preserve"> </w:t>
      </w:r>
      <w:r>
        <w:rPr>
          <w:u w:val="single"/>
        </w:rPr>
        <w:t>that</w:t>
      </w:r>
      <w:r>
        <w:rPr/>
        <w:t xml:space="preserve"> such Trading Entity establishes and maintains Ethical Wall Procedures, to prevent:  (i) the employees of such Trading Entity engaged in preparing and publishing research and in effecting or consummating trades on a day to day basis in the Affected Securities or the Affected Commodities or employees to whom such trading employees directly report (collectively, “Trading/Research Personnel”) from misusing any non-public information obtained by such Trading Entity's designated representative(s) for Committee-related activities ("Committee Personnel"); and (ii) Committee Personnel from receiving information regarding such Trading Entity's trading in the Affected Securities or the Affected Commodities in advance of such trades, and from receiving information regarding such Trading Entity’s preparation of research relating to the Affected Securities or the Affected Commodities in advance of the publication of such research; and it is further</w:t>
      </w:r>
    </w:p>
    <w:p>
      <w:pPr>
        <w:pStyle w:val="Normal"/>
        <w:spacing w:lineRule="exact" w:line="480"/>
        <w:ind w:firstLine="1440" w:end="0"/>
        <w:rPr/>
      </w:pPr>
      <w:r>
        <w:rPr/>
        <w:t xml:space="preserve">ORDERED, that the Ethical Wall Procedures to be employed by a Trading Entity, if it wishes to trade in the Affected Securities and/or the Affected Commodities, or to prepare and provide research relating thereto, shall be deemed adequate procedures if they include the following information-blocking procedures (it being understood that some of the Trading Entities have established internal procedures regarding ethical walls devised from longstanding compliance with federal and state securities laws and regulations):  (i) Committee Personnel will share non-public Committee information (“Confidential Committee Information”) only with employees of such Trading Entity that, due to such employee’s duties and responsibilities, have a need to know such information (including, without limitation, senior management with direct and indirect oversight responsibility over the work or activities of the Committee Personnel with respect to their participation as the Trading Entity’s representative(s) on the Committee, employees providing assistance to the Committee Personnel with respect to their participation as the Trading Entity’s representative(s) on the Committee, and regulatory and compliance personnel, auditors and in-house legal personnel for the purpose of rendering regulatory, compliance audit or legal advice); (ii) notwithstanding the foregoing, Committee Personnel and any other persons described in subsection (i) that receive Confidential Committee Information will not share such information with any of such Trading Entity’s Trading/Research Personnel unless otherwise approved by in-house counsel; (iii) the Trading Entity shall notify in writing all Committee Personnel and such other employees that are reasonably likely to receive Confidential Committee Information that during the pendency of the Case (as defined in the Motion) they may subsequently receive Confidential Committee Information, of the existence of this Order, and of their responsibility to comply with the Ethical Wall Procedures that are in effect with respect to the Affected Securities and the Affected Commodities; (iv) Committee Personnel and all other persons receiving Confidential Committee Information shall keep such information in files that are inaccessible to Trading/Research Personnel; and personnel engaged in publishing research; (v) Committee Personnel will receive no information regarding the Trading Entity's trades in, or research related to, the Affected Securities or the Affected Commodities in advance of such trades or of the publication of such research, except that Committee Personnel may receive (x) the usual and customary internal and public reports showing the Trading Entity's purchases and sales and the amount and class of securities and the amount and types of commodities and derivatives owned by such Trading Entity, including the Affected Securities and the Affected Commodities, and copies of research reports issued by such Trading Entity after such reports are released to the public, (y) information regarding the Trading Entity’s trades or proposed trades in the Affected Commodities with the Debtor or its affiliates in advance of such trades, and (z) in the event that Committee Personnel inadvertently receive such information, no violation of this Order shall be deemed to have occurred if Committee Personnel promptly disclose the receipt of such information to the Committee and abstain from voting on any matter which might be affected by such information; and (vi) the Trading Entity's compliance department personnel shall review from time to time the Ethical Wall Procedures employed by the Trading Entity as necessary to ensure compliance with this Order and shall keep and maintain records of their review; </w:t>
      </w:r>
      <w:r>
        <w:rPr>
          <w:u w:val="single"/>
        </w:rPr>
        <w:t>provided</w:t>
      </w:r>
      <w:r>
        <w:rPr/>
        <w:t xml:space="preserve">, </w:t>
      </w:r>
      <w:r>
        <w:rPr>
          <w:u w:val="single"/>
        </w:rPr>
        <w:t>however</w:t>
      </w:r>
      <w:r>
        <w:rPr/>
        <w:t>, that this Order is not intended to preclude the Court from taking any action it may deem appropriate in the event that it is determined that an actual breach of fiduciary duty has occurred because the procedures employed have not been effective or for reasons unrelated to the relief granted in this Order; and it is further</w:t>
      </w:r>
    </w:p>
    <w:p>
      <w:pPr>
        <w:pStyle w:val="Normal"/>
        <w:spacing w:lineRule="exact" w:line="480"/>
        <w:ind w:firstLine="1440" w:end="0"/>
        <w:rPr/>
      </w:pPr>
      <w:r>
        <w:rPr/>
        <w:t>ORDERED, that the provisions of this Order shall automatically apply and inure to the benefit of all present Committee members, as well as any entities that become members of the Committee after the date hereof.</w:t>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r>
    </w:p>
    <w:p>
      <w:pPr>
        <w:pStyle w:val="Normal"/>
        <w:tabs>
          <w:tab w:val="clear" w:pos="720"/>
          <w:tab w:val="left" w:pos="900" w:leader="none"/>
        </w:tabs>
        <w:rPr/>
      </w:pPr>
      <w:r>
        <w:rPr/>
        <w:t>Dated:</w:t>
        <w:tab/>
        <w:t>May __, 2001</w:t>
        <w:tab/>
        <w:tab/>
        <w:tab/>
        <w:t>_________________________________________</w:t>
      </w:r>
    </w:p>
    <w:p>
      <w:pPr>
        <w:pStyle w:val="Normal"/>
        <w:rPr/>
      </w:pPr>
      <w:r>
        <w:rPr/>
        <w:tab/>
        <w:tab/>
        <w:tab/>
        <w:tab/>
        <w:tab/>
        <w:tab/>
      </w:r>
      <w:r>
        <w:rPr>
          <w:b/>
        </w:rPr>
        <w:t>HONORABLE DENNIS MONTALI</w:t>
      </w:r>
    </w:p>
    <w:p>
      <w:pPr>
        <w:pStyle w:val="Normal"/>
        <w:rPr>
          <w:b/>
        </w:rPr>
      </w:pPr>
      <w:r>
        <w:rPr>
          <w:b/>
        </w:rPr>
        <w:tab/>
        <w:tab/>
        <w:tab/>
        <w:tab/>
        <w:tab/>
        <w:tab/>
        <w:t>UNITED STATES BANKRUPTCY JUDGE</w:t>
      </w:r>
    </w:p>
    <w:p>
      <w:pPr>
        <w:pStyle w:val="Normal"/>
        <w:rPr>
          <w:b/>
        </w:rPr>
      </w:pPr>
      <w:r>
        <w:rPr>
          <w:b/>
        </w:rPr>
      </w:r>
    </w:p>
    <w:p>
      <w:pPr>
        <w:pStyle w:val="FlushLeft"/>
        <w:numPr>
          <w:ilvl w:val="0"/>
          <w:numId w:val="0"/>
        </w:numPr>
        <w:spacing w:lineRule="exact" w:line="480"/>
        <w:ind w:firstLine="1440" w:end="0"/>
        <w:outlineLvl w:val="0"/>
        <w:rPr>
          <w:b/>
        </w:rPr>
      </w:pPr>
      <w:r>
        <w:rPr>
          <w:b/>
        </w:rPr>
      </w:r>
    </w:p>
    <w:p>
      <w:pPr>
        <w:pStyle w:val="FlushLeft"/>
        <w:numPr>
          <w:ilvl w:val="0"/>
          <w:numId w:val="0"/>
        </w:numPr>
        <w:spacing w:lineRule="exact" w:line="480"/>
        <w:ind w:firstLine="1440" w:end="0"/>
        <w:outlineLvl w:val="0"/>
        <w:rPr/>
      </w:pPr>
      <w:r>
        <w:rPr/>
      </w:r>
    </w:p>
    <w:sectPr>
      <w:headerReference w:type="default" r:id="rId2"/>
      <w:headerReference w:type="first" r:id="rId3"/>
      <w:footerReference w:type="default" r:id="rId4"/>
      <w:footerReference w:type="first" r:id="rId5"/>
      <w:type w:val="nextPage"/>
      <w:pgSz w:w="12240" w:h="15840"/>
      <w:pgMar w:left="2160" w:right="720" w:gutter="0" w:header="432" w:top="1296" w:footer="36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1714"/>
      <w:gridCol w:w="3776"/>
      <w:gridCol w:w="1350"/>
      <w:gridCol w:w="4590"/>
      <w:gridCol w:w="4"/>
    </w:tblGrid>
    <w:tr>
      <w:trPr/>
      <w:tc>
        <w:tcPr>
          <w:tcW w:w="1714" w:type="dxa"/>
          <w:tcBorders/>
        </w:tcPr>
        <w:p>
          <w:pPr>
            <w:pStyle w:val="Footer"/>
            <w:snapToGrid w:val="false"/>
            <w:spacing w:lineRule="exact" w:line="160"/>
            <w:ind w:start="-58"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776" w:type="dxa"/>
          <w:tcBorders/>
        </w:tcPr>
        <w:p>
          <w:pPr>
            <w:pStyle w:val="Footer"/>
            <w:spacing w:lineRule="exact" w:line="200"/>
            <w:rPr/>
          </w:pPr>
          <w:r>
            <w:rPr>
              <w:rStyle w:val="zzmpTrailerItem"/>
            </w:rPr>
            <w:t>LA1:#6203159v3</w:t>
          </w:r>
          <w:r>
            <w:rPr/>
            <w:t xml:space="preserve"> </w:t>
          </w:r>
        </w:p>
      </w:tc>
      <w:tc>
        <w:tcPr>
          <w:tcW w:w="1350" w:type="dxa"/>
          <w:tcBorders/>
        </w:tcPr>
        <w:p>
          <w:pPr>
            <w:pStyle w:val="Footer"/>
            <w:ind w:start="-86" w:end="0"/>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c>
      <w:tc>
        <w:tcPr>
          <w:tcW w:w="4590" w:type="dxa"/>
          <w:tcBorders/>
        </w:tcPr>
        <w:p>
          <w:pPr>
            <w:pStyle w:val="Footer"/>
            <w:tabs>
              <w:tab w:val="center" w:pos="4320" w:leader="none"/>
              <w:tab w:val="right" w:pos="5014" w:leader="none"/>
              <w:tab w:val="right" w:pos="9360" w:leader="none"/>
            </w:tabs>
            <w:snapToGrid w:val="false"/>
            <w:ind w:start="252" w:end="0"/>
            <w:jc w:val="end"/>
            <w:rPr>
              <w:rStyle w:val="PageNumber"/>
            </w:rPr>
          </w:pPr>
          <w:r>
            <w:rPr/>
          </w:r>
        </w:p>
      </w:tc>
    </w:tr>
    <w:tr>
      <w:trPr/>
      <w:tc>
        <w:tcPr>
          <w:tcW w:w="11434" w:type="dxa"/>
          <w:gridSpan w:val="4"/>
          <w:tcBorders/>
        </w:tcPr>
        <w:p>
          <w:pPr>
            <w:pStyle w:val="Footer"/>
            <w:tabs>
              <w:tab w:val="clear" w:pos="9360"/>
              <w:tab w:val="center" w:pos="4320" w:leader="none"/>
            </w:tabs>
            <w:ind w:start="1156" w:end="0"/>
            <w:jc w:val="center"/>
            <w:rPr/>
          </w:pPr>
          <w:r>
            <w:rPr/>
            <w:t>PROPOSED ORDER APPROVING TRADING MOTION</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1714"/>
      <w:gridCol w:w="3776"/>
      <w:gridCol w:w="1350"/>
      <w:gridCol w:w="4590"/>
      <w:gridCol w:w="4"/>
    </w:tblGrid>
    <w:tr>
      <w:trPr/>
      <w:tc>
        <w:tcPr>
          <w:tcW w:w="1714" w:type="dxa"/>
          <w:tcBorders/>
        </w:tcPr>
        <w:p>
          <w:pPr>
            <w:pStyle w:val="Footer"/>
            <w:snapToGrid w:val="false"/>
            <w:spacing w:lineRule="exact" w:line="160"/>
            <w:ind w:start="-58"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776" w:type="dxa"/>
          <w:tcBorders/>
        </w:tcPr>
        <w:p>
          <w:pPr>
            <w:pStyle w:val="Footer"/>
            <w:spacing w:lineRule="exact" w:line="200"/>
            <w:rPr/>
          </w:pPr>
          <w:r>
            <w:rPr>
              <w:rStyle w:val="zzmpTrailerItem"/>
            </w:rPr>
            <w:t>LA1:#6203159v3</w:t>
          </w:r>
          <w:r>
            <w:rPr/>
            <w:t xml:space="preserve"> </w:t>
          </w:r>
        </w:p>
      </w:tc>
      <w:tc>
        <w:tcPr>
          <w:tcW w:w="1350" w:type="dxa"/>
          <w:tcBorders/>
        </w:tcPr>
        <w:p>
          <w:pPr>
            <w:pStyle w:val="Footer"/>
            <w:snapToGrid w:val="false"/>
            <w:ind w:start="-86" w:end="0"/>
            <w:jc w:val="end"/>
            <w:rPr>
              <w:rStyle w:val="PageNumber"/>
            </w:rPr>
          </w:pPr>
          <w:r>
            <w:rPr/>
          </w:r>
        </w:p>
      </w:tc>
      <w:tc>
        <w:tcPr>
          <w:tcW w:w="4590" w:type="dxa"/>
          <w:tcBorders/>
        </w:tcPr>
        <w:p>
          <w:pPr>
            <w:pStyle w:val="Footer"/>
            <w:tabs>
              <w:tab w:val="center" w:pos="4320" w:leader="none"/>
              <w:tab w:val="right" w:pos="5014" w:leader="none"/>
              <w:tab w:val="right" w:pos="9360" w:leader="none"/>
            </w:tabs>
            <w:snapToGrid w:val="false"/>
            <w:ind w:start="252" w:end="0"/>
            <w:jc w:val="end"/>
            <w:rPr>
              <w:rStyle w:val="PageNumber"/>
            </w:rPr>
          </w:pPr>
          <w:r>
            <w:rPr/>
          </w:r>
        </w:p>
      </w:tc>
    </w:tr>
    <w:tr>
      <w:trPr/>
      <w:tc>
        <w:tcPr>
          <w:tcW w:w="11434" w:type="dxa"/>
          <w:gridSpan w:val="4"/>
          <w:tcBorders/>
        </w:tcPr>
        <w:p>
          <w:pPr>
            <w:pStyle w:val="Footer"/>
            <w:tabs>
              <w:tab w:val="clear" w:pos="9360"/>
              <w:tab w:val="center" w:pos="4320" w:leader="none"/>
            </w:tabs>
            <w:ind w:start="1156" w:end="0"/>
            <w:jc w:val="center"/>
            <w:rPr/>
          </w:pPr>
          <w:r>
            <w:rPr/>
            <w:t>PROPOSED ORDER APPROVING TRADING MOTION</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572250" cy="9448800"/>
              <wp:effectExtent l="0" t="0" r="0" b="0"/>
              <wp:wrapNone/>
              <wp:docPr id="1" name="Frame2"/>
              <a:graphic xmlns:a="http://schemas.openxmlformats.org/drawingml/2006/main">
                <a:graphicData uri="http://schemas.microsoft.com/office/word/2010/wordprocessingShape">
                  <wps:wsp>
                    <wps:cNvSpPr txBox="1"/>
                    <wps:spPr>
                      <a:xfrm>
                        <a:off x="0" y="0"/>
                        <a:ext cx="6572250" cy="9448800"/>
                      </a:xfrm>
                      <a:prstGeom prst="rect"/>
                      <a:solidFill>
                        <a:srgbClr val="FFFFFF"/>
                      </a:solidFill>
                    </wps:spPr>
                    <wps:txbx>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7.5pt;height:744pt;mso-wrap-distance-left:0pt;mso-wrap-distance-right:0pt;mso-wrap-distance-top:0pt;mso-wrap-distance-bottom:0pt;margin-top:0pt;mso-position-vertical:top;mso-position-vertical-relative:text;margin-left:-13.55pt;mso-position-horizontal:left;mso-position-horizontal-relative:text">
              <v:textbox inset="0in,0in,0in,0in">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6572250" cy="9448800"/>
              <wp:effectExtent l="0" t="0" r="0" b="0"/>
              <wp:wrapNone/>
              <wp:docPr id="2" name="Frame1"/>
              <a:graphic xmlns:a="http://schemas.openxmlformats.org/drawingml/2006/main">
                <a:graphicData uri="http://schemas.microsoft.com/office/word/2010/wordprocessingShape">
                  <wps:wsp>
                    <wps:cNvSpPr txBox="1"/>
                    <wps:spPr>
                      <a:xfrm>
                        <a:off x="0" y="0"/>
                        <a:ext cx="6572250" cy="9448800"/>
                      </a:xfrm>
                      <a:prstGeom prst="rect"/>
                      <a:solidFill>
                        <a:srgbClr val="FFFFFF"/>
                      </a:solidFill>
                    </wps:spPr>
                    <wps:txbx>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7.5pt;height:744pt;mso-wrap-distance-left:0pt;mso-wrap-distance-right:0pt;mso-wrap-distance-top:0pt;mso-wrap-distance-bottom:0pt;margin-top:0pt;mso-position-vertical:top;mso-position-vertical-relative:text;margin-left:-13.55pt;mso-position-horizontal:left;mso-position-horizontal-relative:text">
              <v:textbox inset="0in,0in,0in,0in">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000000"/>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000000"/>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000000"/>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000000"/>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hadow w:val="false"/>
        <w:u w:val="none"/>
        <w:vanish w:val="false"/>
        <w:color w:val="0000FF"/>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0000FF"/>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0000FF"/>
      </w:rPr>
    </w:lvl>
  </w:abstractNum>
  <w:abstractNum w:abstractNumId="3">
    <w:lvl w:ilvl="0">
      <w:start w:val="1"/>
      <w:numFmt w:val="decimal"/>
      <w:lvlText w:val="%1."/>
      <w:lvlJc w:val="start"/>
      <w:pPr>
        <w:tabs>
          <w:tab w:val="num" w:pos="36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chkCopyTitle" w:val="False"/>
    <w:docVar w:name="chkOptFName" w:val="False"/>
    <w:docVar w:name="cmbAttyName" w:val="1933"/>
    <w:docVar w:name="cmbAuthorLists" w:val="-100"/>
    <w:docVar w:name="cmbCrossActions" w:val="none"/>
    <w:docVar w:name="cmbDated" w:val="0"/>
    <w:docVar w:name="cmbOptBodyTextAlignment" w:val="0"/>
    <w:docVar w:name="cmbOptDated" w:val="0"/>
    <w:docVar w:name="cmbOptFonts" w:val="Times New Roman"/>
    <w:docVar w:name="cmbOptOffices" w:val="Los Angeles"/>
    <w:docVar w:name="cmbOptPPaper" w:val="28-line"/>
    <w:docVar w:name="cmbOptSigType" w:val="Standard"/>
    <w:docVar w:name="cmbPrefLists" w:val="-100"/>
    <w:docVar w:name="cmbSetAuthorPref" w:val="1935"/>
    <w:docVar w:name="lstAttyList" w:val="1935"/>
    <w:docVar w:name="lstCourts" w:val="District"/>
    <w:docVar w:name="lstSigType" w:val="Standard"/>
    <w:docVar w:name="OtherCaptionItems" w:val="†"/>
    <w:docVar w:name="packedarray" w:val="C. Stephen Howard†1935|Paul S. Aronzon†1935|Gregory L. Call†1933"/>
    <w:docVar w:name="Restarted" w:val="True"/>
    <w:docVar w:name="tglUseFirmDefaults" w:val="False"/>
    <w:docVar w:name="txtAttyName" w:val="C. Stephen Howard"/>
    <w:docVar w:name="txtAttysFor" w:val="Plaintiff"/>
    <w:docVar w:name="txtCaseNo" w:val="CV-97-1899 PHX RCB"/>
    <w:docVar w:name="txtDPartyNames" w:val="ARTHUR ANDERSEN LLP, an Illinois limited liability partnership,"/>
    <w:docVar w:name="txtDPartyTitle" w:val="Defendant"/>
    <w:docVar w:name="txtJurisdiction" w:val="Arizona"/>
    <w:docVar w:name="txtOptFirstLine" w:val=" 1"/>
    <w:docVar w:name="txtOptFSize" w:val="12"/>
    <w:docVar w:name="txtOptLeftMargin" w:val=" 1.45"/>
    <w:docVar w:name="txtOptRightMargin" w:val=" .5"/>
    <w:docVar w:name="txtPPNames" w:val="CALIFORNIA PUBLIC EMPLOYEES RETIREMENT SYSTEM; DOMINION FUND III; DOMINION HOLDINGS; POMONA CAPITAL; S.P. VENTURE CAPITAL, L.P.; S.P. OFFSHORE VENTURE CAPITAL, L.P.; AND SOF VENTURE CAPITAL, L.P.,"/>
    <w:docVar w:name="txtPPTitle" w:val="Plaintiffs"/>
    <w:docVar w:name="txtRepParties" w:val="SunAmerica Life Insurance Company and SunAmerica Financial Resources, Inc."/>
    <w:docVar w:name="zzmpFixed_PleadingPaperType" w:val="PP28None"/>
    <w:docVar w:name="zzmpFixedCurrentTOCScheme" w:val="Pleading1"/>
    <w:docVar w:name="zzmpFixedCurScheme" w:val="Pleading1"/>
    <w:docVar w:name="zzmpFixedDOC_ID" w:val="LA1:#6203159v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spacing w:lineRule="auto" w:line="240"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lineRule="auto" w:line="240"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lineRule="auto" w:line="240"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lineRule="auto" w:line="240" w:before="240" w:after="60"/>
      <w:outlineLvl w:val="3"/>
    </w:pPr>
    <w:rPr>
      <w:rFonts w:ascii="Arial" w:hAnsi="Arial" w:cs="Arial"/>
      <w:b/>
    </w:rPr>
  </w:style>
  <w:style w:type="paragraph" w:styleId="Heading5">
    <w:name w:val="heading 5"/>
    <w:basedOn w:val="Normal"/>
    <w:next w:val="Normal"/>
    <w:qFormat/>
    <w:pPr>
      <w:widowControl/>
      <w:numPr>
        <w:ilvl w:val="4"/>
        <w:numId w:val="1"/>
      </w:numPr>
      <w:spacing w:lineRule="auto" w:line="240" w:before="240" w:after="60"/>
      <w:outlineLvl w:val="4"/>
    </w:pPr>
    <w:rPr>
      <w:sz w:val="22"/>
    </w:rPr>
  </w:style>
  <w:style w:type="paragraph" w:styleId="Heading6">
    <w:name w:val="heading 6"/>
    <w:basedOn w:val="Normal"/>
    <w:next w:val="Normal"/>
    <w:qFormat/>
    <w:pPr>
      <w:widowControl/>
      <w:numPr>
        <w:ilvl w:val="5"/>
        <w:numId w:val="1"/>
      </w:numPr>
      <w:spacing w:lineRule="auto" w:line="240" w:before="240" w:after="60"/>
      <w:outlineLvl w:val="5"/>
    </w:pPr>
    <w:rPr>
      <w:i/>
      <w:sz w:val="22"/>
    </w:rPr>
  </w:style>
  <w:style w:type="paragraph" w:styleId="Heading7">
    <w:name w:val="heading 7"/>
    <w:basedOn w:val="Normal"/>
    <w:next w:val="Normal"/>
    <w:qFormat/>
    <w:pPr>
      <w:widowControl/>
      <w:numPr>
        <w:ilvl w:val="6"/>
        <w:numId w:val="1"/>
      </w:numPr>
      <w:spacing w:lineRule="auto" w:line="240"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lineRule="auto" w:line="240"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lineRule="auto" w:line="240"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u w:val="none"/>
    </w:rPr>
  </w:style>
  <w:style w:type="character" w:styleId="WW8Num11z1">
    <w:name w:val="WW8Num11z1"/>
    <w:qFormat/>
    <w:rPr>
      <w:rFonts w:ascii="Courier New" w:hAnsi="Courier New" w:cs="Courier New"/>
      <w:b/>
      <w:u w:val="none"/>
    </w:rPr>
  </w:style>
  <w:style w:type="character" w:styleId="WW8Num11z2">
    <w:name w:val="WW8Num11z2"/>
    <w:qFormat/>
    <w:rPr>
      <w:b w:val="false"/>
      <w:u w:val="none"/>
    </w:rPr>
  </w:style>
  <w:style w:type="character" w:styleId="WW8Num12z0">
    <w:name w:val="WW8Num12z0"/>
    <w:qFormat/>
    <w:rPr>
      <w:u w:val="none"/>
    </w:rPr>
  </w:style>
  <w:style w:type="character" w:styleId="WW8Num13z0">
    <w:name w:val="WW8Num13z0"/>
    <w:qFormat/>
    <w:rPr>
      <w:color w:val="auto"/>
    </w:rPr>
  </w:style>
  <w:style w:type="character" w:styleId="WW8Num14z0">
    <w:name w:val="WW8Num14z0"/>
    <w:qFormat/>
    <w:rPr/>
  </w:style>
  <w:style w:type="character" w:styleId="WW8Num15z0">
    <w:name w:val="WW8Num15z0"/>
    <w:qFormat/>
    <w:rPr>
      <w:b w:val="false"/>
      <w:i w:val="false"/>
      <w:color w:val="auto"/>
      <w:u w:val="none"/>
    </w:rPr>
  </w:style>
  <w:style w:type="character" w:styleId="WW8Num16z0">
    <w:name w:val="WW8Num16z0"/>
    <w:qFormat/>
    <w:rPr>
      <w:color w:val="auto"/>
    </w:rPr>
  </w:style>
  <w:style w:type="character" w:styleId="WW8Num17z0">
    <w:name w:val="WW8Num17z0"/>
    <w:qFormat/>
    <w:rPr>
      <w:b w:val="false"/>
      <w:i w:val="fals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color w:val="auto"/>
    </w:rPr>
  </w:style>
  <w:style w:type="character" w:styleId="WW8Num24z0">
    <w:name w:val="WW8Num24z0"/>
    <w:qFormat/>
    <w:rPr>
      <w:caps w:val="false"/>
      <w:smallCaps w:val="false"/>
      <w:strike w:val="false"/>
      <w:dstrike w:val="false"/>
      <w:outline w:val="false"/>
      <w:shadow w:val="false"/>
      <w:vanish w:val="false"/>
      <w:position w:val="0"/>
      <w:sz w:val="24"/>
      <w:vertAlign w:val="baseline"/>
    </w:rPr>
  </w:style>
  <w:style w:type="character" w:styleId="WW8Num26z0">
    <w:name w:val="WW8Num26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6z1">
    <w:name w:val="WW8Num26z1"/>
    <w:qFormat/>
    <w:rPr>
      <w:rFonts w:ascii="Times New Roman" w:hAnsi="Times New Roman" w:cs="Times New Roman"/>
      <w:b w:val="false"/>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26z2">
    <w:name w:val="WW8Num26z2"/>
    <w:qFormat/>
    <w:rPr>
      <w:rFonts w:ascii="Times New Roman" w:hAnsi="Times New Roman" w:cs="Times New Roman"/>
      <w:b w:val="false"/>
      <w:i w:val="false"/>
      <w:caps w:val="false"/>
      <w:smallCaps w:val="false"/>
      <w:strike w:val="false"/>
      <w:dstrike w:val="false"/>
      <w:outline w:val="false"/>
      <w:shadow w:val="false"/>
      <w:vanish w:val="false"/>
      <w:color w:val="0000FF"/>
      <w:position w:val="0"/>
      <w:sz w:val="24"/>
      <w:sz w:val="24"/>
      <w:vertAlign w:val="baseline"/>
    </w:rPr>
  </w:style>
  <w:style w:type="character" w:styleId="WW8Num26z3">
    <w:name w:val="WW8Num26z3"/>
    <w:qFormat/>
    <w:rPr>
      <w:rFonts w:ascii="Times New Roman" w:hAnsi="Times New Roman" w:cs="Times New Roman"/>
      <w:b w:val="false"/>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26z4">
    <w:name w:val="WW8Num26z4"/>
    <w:qFormat/>
    <w:rPr>
      <w:rFonts w:ascii="Times New Roman" w:hAnsi="Times New Roman" w:cs="Times New Roman"/>
      <w:caps w:val="false"/>
      <w:smallCaps w:val="false"/>
      <w:strike w:val="false"/>
      <w:dstrike w:val="false"/>
      <w:outline w:val="false"/>
      <w:shadow w:val="false"/>
      <w:vanish w:val="false"/>
      <w:color w:val="0000FF"/>
      <w:position w:val="0"/>
      <w:sz w:val="24"/>
      <w:sz w:val="24"/>
      <w:u w:val="none"/>
      <w:vertAlign w:val="baseline"/>
    </w:rPr>
  </w:style>
  <w:style w:type="character" w:styleId="WW8Num27z0">
    <w:name w:val="WW8Num27z0"/>
    <w:qFormat/>
    <w:rPr>
      <w:u w:val="none"/>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u w:val="none"/>
    </w:rPr>
  </w:style>
  <w:style w:type="character" w:styleId="WW8Num32z0">
    <w:name w:val="WW8Num32z0"/>
    <w:qFormat/>
    <w:rPr/>
  </w:style>
  <w:style w:type="character" w:styleId="WW8Num33z0">
    <w:name w:val="WW8Num33z0"/>
    <w:qFormat/>
    <w:rPr>
      <w:rFonts w:ascii="Times New Roman Bold" w:hAnsi="Times New Roman Bold" w:cs="Times New Roman Bold"/>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33z4">
    <w:name w:val="WW8Num33z4"/>
    <w:qFormat/>
    <w:rPr>
      <w:caps w:val="false"/>
      <w:smallCaps w:val="false"/>
      <w:strike w:val="false"/>
      <w:dstrike w:val="false"/>
      <w:outline w:val="false"/>
      <w:shadow w:val="false"/>
      <w:vanish w:val="false"/>
      <w:color w:val="0000FF"/>
      <w:position w:val="0"/>
      <w:sz w:val="24"/>
      <w:u w:val="none"/>
      <w:vertAlign w:val="baseline"/>
    </w:rPr>
  </w:style>
  <w:style w:type="character" w:styleId="WW8Num33z5">
    <w:name w:val="WW8Num33z5"/>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4z0">
    <w:name w:val="WW8Num34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4z2">
    <w:name w:val="WW8Num34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5z0">
    <w:name w:val="WW8Num35z0"/>
    <w:qFormat/>
    <w:rPr>
      <w:b/>
      <w:i w:val="false"/>
      <w:caps w:val="false"/>
      <w:smallCaps w:val="false"/>
      <w:strike w:val="false"/>
      <w:dstrike w:val="false"/>
      <w:shadow w:val="false"/>
      <w:vanish w:val="false"/>
      <w:color w:val="0000FF"/>
      <w:position w:val="0"/>
      <w:sz w:val="24"/>
      <w:u w:val="none"/>
      <w:vertAlign w:val="baseline"/>
    </w:rPr>
  </w:style>
  <w:style w:type="character" w:styleId="WW8Num35z2">
    <w:name w:val="WW8Num35z2"/>
    <w:qFormat/>
    <w:rPr>
      <w:b w:val="false"/>
      <w:i w:val="false"/>
      <w:caps w:val="false"/>
      <w:smallCaps w:val="false"/>
      <w:strike w:val="false"/>
      <w:dstrike w:val="false"/>
      <w:shadow w:val="false"/>
      <w:vanish w:val="false"/>
      <w:color w:val="0000FF"/>
      <w:position w:val="0"/>
      <w:sz w:val="24"/>
      <w:vertAlign w:val="baseline"/>
    </w:rPr>
  </w:style>
  <w:style w:type="character" w:styleId="WW8Num35z3">
    <w:name w:val="WW8Num35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5z4">
    <w:name w:val="WW8Num35z4"/>
    <w:qFormat/>
    <w:rPr>
      <w:caps w:val="false"/>
      <w:smallCaps w:val="false"/>
      <w:strike w:val="false"/>
      <w:dstrike w:val="false"/>
      <w:shadow w:val="false"/>
      <w:vanish w:val="false"/>
      <w:color w:val="0000FF"/>
      <w:position w:val="0"/>
      <w:sz w:val="24"/>
      <w:u w:val="none"/>
      <w:vertAlign w:val="baseline"/>
    </w:rPr>
  </w:style>
  <w:style w:type="character" w:styleId="WW8Num35z7">
    <w:name w:val="WW8Num35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color w:val="auto"/>
    </w:rPr>
  </w:style>
  <w:style w:type="character" w:styleId="WW8Num40z0">
    <w:name w:val="WW8Num40z0"/>
    <w:qFormat/>
    <w:rPr/>
  </w:style>
  <w:style w:type="character" w:styleId="WW8Num42z0">
    <w:name w:val="WW8Num42z0"/>
    <w:qFormat/>
    <w:rPr>
      <w:b w:val="false"/>
      <w:i w:val="false"/>
      <w:color w:val="auto"/>
      <w:u w:val="non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color w:val="auto"/>
    </w:rPr>
  </w:style>
  <w:style w:type="character" w:styleId="WW8Num50z0">
    <w:name w:val="WW8Num50z0"/>
    <w:qFormat/>
    <w:rPr>
      <w:u w:val="none"/>
    </w:rPr>
  </w:style>
  <w:style w:type="character" w:styleId="WW8Num51z0">
    <w:name w:val="WW8Num51z0"/>
    <w:qFormat/>
    <w:rPr>
      <w:rFonts w:ascii="Times" w:hAnsi="Times" w:cs="Times"/>
      <w:b/>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51z2">
    <w:name w:val="WW8Num51z2"/>
    <w:qFormat/>
    <w:rPr>
      <w:rFonts w:ascii="Times" w:hAnsi="Times" w:cs="Times"/>
      <w:b w:val="false"/>
      <w:i w:val="false"/>
      <w:caps w:val="false"/>
      <w:smallCaps w:val="false"/>
      <w:strike w:val="false"/>
      <w:dstrike w:val="false"/>
      <w:outline w:val="false"/>
      <w:shadow w:val="false"/>
      <w:vanish w:val="false"/>
      <w:color w:val="0000FF"/>
      <w:position w:val="0"/>
      <w:sz w:val="24"/>
      <w:sz w:val="24"/>
      <w:vertAlign w:val="baseline"/>
    </w:rPr>
  </w:style>
  <w:style w:type="character" w:styleId="WW8Num51z3">
    <w:name w:val="WW8Num51z3"/>
    <w:qFormat/>
    <w:rPr>
      <w:rFonts w:ascii="Times" w:hAnsi="Times" w:cs="Times"/>
      <w:b w:val="false"/>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51z4">
    <w:name w:val="WW8Num51z4"/>
    <w:qFormat/>
    <w:rPr>
      <w:rFonts w:ascii="Times" w:hAnsi="Times" w:cs="Times"/>
      <w:caps w:val="false"/>
      <w:smallCaps w:val="false"/>
      <w:strike w:val="false"/>
      <w:dstrike w:val="false"/>
      <w:outline w:val="false"/>
      <w:shadow w:val="false"/>
      <w:vanish w:val="false"/>
      <w:color w:val="0000FF"/>
      <w:position w:val="0"/>
      <w:sz w:val="24"/>
      <w:sz w:val="24"/>
      <w:u w:val="none"/>
      <w:vertAlign w:val="baseline"/>
    </w:rPr>
  </w:style>
  <w:style w:type="character" w:styleId="WW8Num52z0">
    <w:name w:val="WW8Num52z0"/>
    <w:qFormat/>
    <w:rPr/>
  </w:style>
  <w:style w:type="character" w:styleId="WW8Num53z0">
    <w:name w:val="WW8Num53z0"/>
    <w:qFormat/>
    <w:rPr>
      <w:b/>
      <w:i w:val="false"/>
      <w:caps w:val="false"/>
      <w:smallCaps w:val="false"/>
      <w:strike w:val="false"/>
      <w:dstrike w:val="false"/>
      <w:shadow w:val="false"/>
      <w:vanish w:val="false"/>
      <w:color w:val="0000FF"/>
      <w:position w:val="0"/>
      <w:sz w:val="24"/>
      <w:u w:val="none"/>
      <w:vertAlign w:val="baseline"/>
    </w:rPr>
  </w:style>
  <w:style w:type="character" w:styleId="WW8Num53z2">
    <w:name w:val="WW8Num53z2"/>
    <w:qFormat/>
    <w:rPr>
      <w:b w:val="false"/>
      <w:i w:val="false"/>
      <w:caps w:val="false"/>
      <w:smallCaps w:val="false"/>
      <w:strike w:val="false"/>
      <w:dstrike w:val="false"/>
      <w:shadow w:val="false"/>
      <w:vanish w:val="false"/>
      <w:color w:val="0000FF"/>
      <w:position w:val="0"/>
      <w:sz w:val="24"/>
      <w:vertAlign w:val="baseline"/>
    </w:rPr>
  </w:style>
  <w:style w:type="character" w:styleId="WW8Num53z3">
    <w:name w:val="WW8Num5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53z4">
    <w:name w:val="WW8Num53z4"/>
    <w:qFormat/>
    <w:rPr>
      <w:caps w:val="false"/>
      <w:smallCaps w:val="false"/>
      <w:strike w:val="false"/>
      <w:dstrike w:val="false"/>
      <w:shadow w:val="false"/>
      <w:vanish w:val="false"/>
      <w:color w:val="0000FF"/>
      <w:position w:val="0"/>
      <w:sz w:val="24"/>
      <w:u w:val="none"/>
      <w:vertAlign w:val="baseline"/>
    </w:rPr>
  </w:style>
  <w:style w:type="character" w:styleId="WW8Num53z7">
    <w:name w:val="WW8Num53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54z0">
    <w:name w:val="WW8Num54z0"/>
    <w:qFormat/>
    <w:rPr>
      <w:b w:val="false"/>
      <w:i w:val="false"/>
      <w:color w:val="auto"/>
      <w:u w:val="none"/>
    </w:rPr>
  </w:style>
  <w:style w:type="character" w:styleId="WW8Num55z0">
    <w:name w:val="WW8Num55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geNumber">
    <w:name w:val="page number"/>
    <w:basedOn w:val="DefaultParagraphFont"/>
    <w:rPr>
      <w:sz w:val="24"/>
    </w:rPr>
  </w:style>
  <w:style w:type="character" w:styleId="zzmpTrailerItem">
    <w:name w:val="zzmpTrailerItem"/>
    <w:basedOn w:val="DefaultParagraphFont"/>
    <w:qFormat/>
    <w:rPr>
      <w:sz w:val="16"/>
      <w:effect w:val="blinkBackground"/>
    </w:rPr>
  </w:style>
  <w:style w:type="character" w:styleId="CommentReference">
    <w:name w:val="Comment Reference"/>
    <w:basedOn w:val="DefaultParagraphFont"/>
    <w:qFormat/>
    <w:rPr>
      <w:sz w:val="16"/>
    </w:rPr>
  </w:style>
  <w:style w:type="character" w:styleId="ParaNum">
    <w:name w:val="ParaNum"/>
    <w:basedOn w:val="DefaultParagraphFont"/>
    <w:qFormat/>
    <w:rPr/>
  </w:style>
  <w:style w:type="character" w:styleId="ParagraphNumber">
    <w:name w:val="ParagraphNumber"/>
    <w:basedOn w:val="DefaultParagraphFont"/>
    <w:qFormat/>
    <w:rPr/>
  </w:style>
  <w:style w:type="paragraph" w:styleId="Heading">
    <w:name w:val="Heading"/>
    <w:basedOn w:val="Normal"/>
    <w:next w:val="BodyText"/>
    <w:qFormat/>
    <w:pPr>
      <w:widowControl/>
      <w:spacing w:lineRule="auto" w:line="240" w:before="240" w:after="60"/>
      <w:jc w:val="center"/>
      <w:outlineLvl w:val="0"/>
    </w:pPr>
    <w:rPr>
      <w:b/>
      <w:kern w:val="2"/>
      <w:sz w:val="32"/>
      <w:lang w:eastAsia="en-US"/>
    </w:rPr>
  </w:style>
  <w:style w:type="paragraph" w:styleId="BodyText">
    <w:name w:val="Body Text"/>
    <w:basedOn w:val="Normal"/>
    <w:pPr>
      <w:spacing w:lineRule="exact"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lushLeft">
    <w:name w:val="Flush Left"/>
    <w:basedOn w:val="Normal"/>
    <w:qFormat/>
    <w:pPr>
      <w:widowControl/>
      <w:spacing w:lineRule="auto" w:line="240"/>
    </w:pPr>
    <w:rPr/>
  </w:style>
  <w:style w:type="paragraph" w:styleId="BodyTextContinued">
    <w:name w:val="Body Text Continued"/>
    <w:basedOn w:val="Normal"/>
    <w:next w:val="BodyText"/>
    <w:qFormat/>
    <w:pPr>
      <w:spacing w:lineRule="exact" w:line="480"/>
    </w:pPr>
    <w:rPr/>
  </w:style>
  <w:style w:type="paragraph" w:styleId="Centered">
    <w:name w:val="Centered"/>
    <w:basedOn w:val="Normal"/>
    <w:next w:val="BodyText"/>
    <w:qFormat/>
    <w:pPr>
      <w:spacing w:lineRule="exact" w:line="240"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z w:val="20"/>
    </w:rPr>
  </w:style>
  <w:style w:type="paragraph" w:styleId="FootnoteText">
    <w:name w:val="footnote text"/>
    <w:basedOn w:val="Normal"/>
    <w:pPr>
      <w:widowControl w:val="false"/>
      <w:spacing w:lineRule="exact" w:line="240"/>
    </w:pPr>
    <w:rPr/>
  </w:style>
  <w:style w:type="paragraph" w:styleId="Header">
    <w:name w:val="header"/>
    <w:basedOn w:val="Normal"/>
    <w:pPr>
      <w:tabs>
        <w:tab w:val="clear" w:pos="720"/>
        <w:tab w:val="center" w:pos="432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4680" w:end="0"/>
    </w:pPr>
    <w:rPr/>
  </w:style>
  <w:style w:type="paragraph" w:styleId="TableofAuthorities">
    <w:name w:val="Table of Authorities"/>
    <w:basedOn w:val="Normal"/>
    <w:next w:val="Normal"/>
    <w:qFormat/>
    <w:pPr>
      <w:tabs>
        <w:tab w:val="clear" w:pos="720"/>
        <w:tab w:val="right" w:pos="9216" w:leader="dot"/>
      </w:tabs>
      <w:spacing w:before="0" w:after="120"/>
      <w:ind w:hanging="360" w:start="360" w:end="1440"/>
    </w:pPr>
    <w:rPr/>
  </w:style>
  <w:style w:type="paragraph" w:styleId="TOAHeading">
    <w:name w:val="TOA Heading"/>
    <w:basedOn w:val="Normal"/>
    <w:next w:val="TableofAuthorities"/>
    <w:qFormat/>
    <w:pPr>
      <w:keepNext w:val="true"/>
      <w:spacing w:before="480" w:after="12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CommentText">
    <w:name w:val="Comment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BodyTextDoublePleading">
    <w:name w:val="Body Text Double Pleading"/>
    <w:basedOn w:val="Normal"/>
    <w:qFormat/>
    <w:pPr>
      <w:widowControl/>
      <w:spacing w:lineRule="exact" w:line="480"/>
      <w:ind w:firstLine="1440" w:start="0" w:end="0"/>
    </w:pPr>
    <w:rPr/>
  </w:style>
  <w:style w:type="paragraph" w:styleId="BodyStyleSingleLeft">
    <w:name w:val="Body Style Single Left"/>
    <w:basedOn w:val="BodyText"/>
    <w:qFormat/>
    <w:pPr>
      <w:widowControl/>
      <w:spacing w:lineRule="exact" w:line="240"/>
      <w:ind w:hanging="0" w:start="0" w:end="0"/>
    </w:pPr>
    <w:rPr/>
  </w:style>
  <w:style w:type="paragraph" w:styleId="NumContinue">
    <w:name w:val="Num Continue"/>
    <w:basedOn w:val="BodyText"/>
    <w:qFormat/>
    <w:pPr>
      <w:spacing w:before="0" w:after="240"/>
      <w:ind w:firstLine="1440" w:start="0" w:end="144"/>
      <w:jc w:val="center"/>
    </w:pPr>
    <w:rPr/>
  </w:style>
  <w:style w:type="paragraph" w:styleId="BlockText">
    <w:name w:val="Block Text"/>
    <w:basedOn w:val="Normal"/>
    <w:qFormat/>
    <w:pPr>
      <w:spacing w:lineRule="exact" w:line="480"/>
      <w:ind w:hanging="0" w:start="1440" w:end="1440"/>
    </w:pPr>
    <w:rPr/>
  </w:style>
  <w:style w:type="paragraph" w:styleId="Pleading1L2">
    <w:name w:val="Pleading1_L2"/>
    <w:next w:val="BodyTextDoublePleading"/>
    <w:qFormat/>
    <w:pPr>
      <w:widowControl/>
      <w:numPr>
        <w:ilvl w:val="0"/>
        <w:numId w:val="2"/>
      </w:numPr>
      <w:bidi w:val="0"/>
      <w:spacing w:lineRule="exact" w:line="240" w:before="240" w:after="0"/>
      <w:outlineLvl w:val="1"/>
    </w:pPr>
    <w:rPr>
      <w:rFonts w:ascii="Times New Roman Bold" w:hAnsi="Times New Roman Bold" w:eastAsia="Times New Roman" w:cs="Times New Roman Bold"/>
      <w:b/>
      <w:color w:val="auto"/>
      <w:sz w:val="24"/>
      <w:szCs w:val="20"/>
      <w:u w:val="single"/>
      <w:lang w:val="en-US" w:eastAsia="zh-CN" w:bidi="hi-IN"/>
    </w:rPr>
  </w:style>
  <w:style w:type="paragraph" w:styleId="Pleading1L1">
    <w:name w:val="Pleading1_L1"/>
    <w:next w:val="Pleading1L2"/>
    <w:qFormat/>
    <w:pPr>
      <w:widowControl/>
      <w:numPr>
        <w:ilvl w:val="0"/>
        <w:numId w:val="2"/>
      </w:numPr>
      <w:bidi w:val="0"/>
      <w:spacing w:lineRule="exact" w:line="480"/>
      <w:outlineLvl w:val="0"/>
    </w:pPr>
    <w:rPr>
      <w:rFonts w:ascii="Times New Roman Bold" w:hAnsi="Times New Roman Bold" w:eastAsia="Times New Roman" w:cs="Times New Roman Bold"/>
      <w:b/>
      <w:caps/>
      <w:color w:val="000000"/>
      <w:sz w:val="24"/>
      <w:szCs w:val="20"/>
      <w:lang w:val="en-US" w:eastAsia="zh-CN" w:bidi="hi-IN"/>
    </w:rPr>
  </w:style>
  <w:style w:type="paragraph" w:styleId="Pleading1L3">
    <w:name w:val="Pleading1_L3"/>
    <w:next w:val="BodyTextDoublePleading"/>
    <w:qFormat/>
    <w:pPr>
      <w:widowControl/>
      <w:numPr>
        <w:ilvl w:val="0"/>
        <w:numId w:val="2"/>
      </w:numPr>
      <w:bidi w:val="0"/>
      <w:spacing w:lineRule="exact" w:line="240" w:before="240" w:after="0"/>
      <w:outlineLvl w:val="2"/>
    </w:pPr>
    <w:rPr>
      <w:rFonts w:ascii="Times New Roman Bold" w:hAnsi="Times New Roman Bold" w:eastAsia="Times New Roman" w:cs="Times New Roman Bold"/>
      <w:b/>
      <w:color w:val="auto"/>
      <w:sz w:val="24"/>
      <w:szCs w:val="20"/>
      <w:u w:val="single"/>
      <w:lang w:val="en-US" w:eastAsia="zh-CN" w:bidi="hi-IN"/>
    </w:rPr>
  </w:style>
  <w:style w:type="paragraph" w:styleId="Pleading1L4">
    <w:name w:val="Pleading1_L4"/>
    <w:next w:val="BodyTextDoublePleading"/>
    <w:qFormat/>
    <w:pPr>
      <w:widowControl/>
      <w:numPr>
        <w:ilvl w:val="0"/>
        <w:numId w:val="2"/>
      </w:numPr>
      <w:tabs>
        <w:tab w:val="clear" w:pos="720"/>
      </w:tabs>
      <w:bidi w:val="0"/>
      <w:spacing w:lineRule="exact" w:line="240" w:before="240" w:after="0"/>
      <w:outlineLvl w:val="3"/>
    </w:pPr>
    <w:rPr>
      <w:rFonts w:ascii="Times New Roman Bold" w:hAnsi="Times New Roman Bold" w:eastAsia="Times New Roman" w:cs="Times New Roman Bold"/>
      <w:b/>
      <w:color w:val="auto"/>
      <w:sz w:val="24"/>
      <w:szCs w:val="20"/>
      <w:u w:val="single"/>
      <w:lang w:val="en-CA" w:eastAsia="zh-CN" w:bidi="hi-IN"/>
    </w:rPr>
  </w:style>
  <w:style w:type="paragraph" w:styleId="Pleading1L5">
    <w:name w:val="Pleading1_L5"/>
    <w:basedOn w:val="Pleading1L4"/>
    <w:next w:val="BodyText"/>
    <w:qFormat/>
    <w:pPr>
      <w:numPr>
        <w:ilvl w:val="0"/>
        <w:numId w:val="2"/>
      </w:numPr>
      <w:outlineLvl w:val="4"/>
    </w:pPr>
    <w:rPr/>
  </w:style>
  <w:style w:type="paragraph" w:styleId="Pleading1L6">
    <w:name w:val="Pleading1_L6"/>
    <w:basedOn w:val="Pleading1L5"/>
    <w:next w:val="BodyText"/>
    <w:qFormat/>
    <w:pPr>
      <w:numPr>
        <w:ilvl w:val="0"/>
        <w:numId w:val="2"/>
      </w:numPr>
      <w:outlineLvl w:val="5"/>
    </w:pPr>
    <w:rPr/>
  </w:style>
  <w:style w:type="paragraph" w:styleId="Pleading1L7">
    <w:name w:val="Pleading1_L7"/>
    <w:basedOn w:val="Pleading1L6"/>
    <w:next w:val="BodyText"/>
    <w:qFormat/>
    <w:pPr>
      <w:numPr>
        <w:ilvl w:val="0"/>
        <w:numId w:val="2"/>
      </w:numPr>
      <w:outlineLvl w:val="6"/>
    </w:pPr>
    <w:rPr/>
  </w:style>
  <w:style w:type="paragraph" w:styleId="Pleading1L8">
    <w:name w:val="Pleading1_L8"/>
    <w:basedOn w:val="Pleading1L7"/>
    <w:next w:val="BodyText"/>
    <w:qFormat/>
    <w:pPr>
      <w:numPr>
        <w:ilvl w:val="0"/>
        <w:numId w:val="2"/>
      </w:numPr>
      <w:outlineLvl w:val="7"/>
    </w:pPr>
    <w:rPr/>
  </w:style>
  <w:style w:type="paragraph" w:styleId="Pleading1L9">
    <w:name w:val="Pleading1_L9"/>
    <w:basedOn w:val="Pleading1L8"/>
    <w:next w:val="BodyText"/>
    <w:qFormat/>
    <w:pPr>
      <w:numPr>
        <w:ilvl w:val="0"/>
        <w:numId w:val="2"/>
      </w:numPr>
      <w:outlineLvl w:val="8"/>
    </w:pPr>
    <w:rPr/>
  </w:style>
  <w:style w:type="paragraph" w:styleId="FlushLeftDoublePleading">
    <w:name w:val="Flush Left Double Pleading"/>
    <w:basedOn w:val="Normal"/>
    <w:qFormat/>
    <w:pPr>
      <w:widowControl/>
      <w:spacing w:lineRule="exact" w:line="480" w:before="240" w:after="0"/>
    </w:pPr>
    <w:rPr/>
  </w:style>
  <w:style w:type="paragraph" w:styleId="centerboldunderline24">
    <w:name w:val="center bold underline 24"/>
    <w:basedOn w:val="Normal"/>
    <w:qFormat/>
    <w:pPr>
      <w:widowControl/>
      <w:spacing w:lineRule="exact" w:line="480"/>
      <w:jc w:val="center"/>
    </w:pPr>
    <w:rPr>
      <w:b/>
      <w:u w:val="single"/>
      <w:lang w:eastAsia="en-US"/>
    </w:rPr>
  </w:style>
  <w:style w:type="paragraph" w:styleId="hangingindent12">
    <w:name w:val="hanging indent 12"/>
    <w:basedOn w:val="Normal"/>
    <w:qFormat/>
    <w:pPr>
      <w:spacing w:before="240" w:after="0"/>
      <w:ind w:hanging="1440" w:start="2880" w:end="0"/>
    </w:pPr>
    <w:rPr/>
  </w:style>
  <w:style w:type="paragraph" w:styleId="StandardL1">
    <w:name w:val="Standard_L1"/>
    <w:basedOn w:val="Normal"/>
    <w:qFormat/>
    <w:pPr>
      <w:widowControl/>
      <w:spacing w:lineRule="exact" w:line="480"/>
      <w:ind w:firstLine="720" w:start="720" w:end="0"/>
      <w:outlineLvl w:val="0"/>
    </w:pPr>
    <w:rPr/>
  </w:style>
  <w:style w:type="paragraph" w:styleId="HangingIndentSignature">
    <w:name w:val="Hanging Indent Signature"/>
    <w:qFormat/>
    <w:pPr>
      <w:widowControl/>
      <w:tabs>
        <w:tab w:val="clear" w:pos="720"/>
        <w:tab w:val="left" w:pos="4320" w:leader="none"/>
      </w:tabs>
      <w:bidi w:val="0"/>
      <w:spacing w:before="480" w:after="0"/>
      <w:ind w:hanging="720" w:start="5040" w:end="0"/>
    </w:pPr>
    <w:rPr>
      <w:rFonts w:ascii="Times New Roman" w:hAnsi="Times New Roman" w:eastAsia="Times New Roman" w:cs="Times New Roman"/>
      <w:color w:val="auto"/>
      <w:sz w:val="24"/>
      <w:szCs w:val="20"/>
      <w:lang w:val="en-CA" w:eastAsia="zh-CN" w:bidi="hi-IN"/>
    </w:rPr>
  </w:style>
  <w:style w:type="paragraph" w:styleId="bodytextdouble">
    <w:name w:val="body text double"/>
    <w:basedOn w:val="Normal"/>
    <w:qFormat/>
    <w:pPr>
      <w:widowControl/>
      <w:numPr>
        <w:ilvl w:val="0"/>
        <w:numId w:val="3"/>
      </w:numPr>
    </w:pPr>
    <w:rPr/>
  </w:style>
  <w:style w:type="paragraph" w:styleId="BodyTextIndent">
    <w:name w:val="Body Text Indent"/>
    <w:basedOn w:val="Normal"/>
    <w:pPr>
      <w:spacing w:before="0" w:after="120"/>
      <w:ind w:hanging="0" w:start="360" w:end="0"/>
    </w:pPr>
    <w:rPr/>
  </w:style>
  <w:style w:type="paragraph" w:styleId="LabelAddress">
    <w:name w:val="LabelAddress"/>
    <w:basedOn w:val="Normal"/>
    <w:qFormat/>
    <w:pPr>
      <w:widowControl/>
      <w:spacing w:lineRule="auto" w:line="240"/>
      <w:ind w:hanging="0" w:start="720" w:end="0"/>
    </w:pPr>
    <w:rPr/>
  </w:style>
  <w:style w:type="paragraph" w:styleId="BodyTextCentered">
    <w:name w:val="Body Text Centered"/>
    <w:basedOn w:val="Normal"/>
    <w:qFormat/>
    <w:pPr>
      <w:widowControl/>
      <w:spacing w:lineRule="exact" w:line="480" w:before="0" w:after="240"/>
      <w:jc w:val="center"/>
      <w:outlineLvl w:val="0"/>
    </w:pPr>
    <w:rPr>
      <w:b/>
      <w:u w:val="single"/>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PleadCA.dot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2001-05-07T15:55:00Z</dcterms:created>
  <dc:creator>KValenti</dc:creator>
  <dc:description/>
  <dc:language>en-CA</dc:language>
  <cp:lastModifiedBy>VMoody</cp:lastModifiedBy>
  <cp:lastPrinted>2001-05-07T12:00:00Z</cp:lastPrinted>
  <dcterms:modified xsi:type="dcterms:W3CDTF">2001-05-08T15:56:00Z</dcterms:modified>
  <cp:revision>5</cp:revision>
  <dc:subject/>
  <dc:title>Word 8.0 Generic Pleading Template, rev. 4/3/97</dc:title>
</cp:coreProperties>
</file>