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28"/>
        </w:rPr>
      </w:pPr>
      <w:r>
        <w:rPr>
          <w:sz w:val="28"/>
        </w:rPr>
        <w:t>SPECIAL PROVISIONS TO THE GISB BASE CONTRACT</w:t>
      </w:r>
    </w:p>
    <w:p>
      <w:pPr>
        <w:pStyle w:val="Normal"/>
        <w:widowControl w:val="false"/>
        <w:numPr>
          <w:ilvl w:val="0"/>
          <w:numId w:val="0"/>
        </w:numPr>
        <w:tabs>
          <w:tab w:val="clear" w:pos="720"/>
          <w:tab w:val="left" w:pos="0" w:leader="none"/>
          <w:tab w:val="right" w:pos="5202" w:leader="none"/>
        </w:tabs>
        <w:jc w:val="center"/>
        <w:outlineLvl w:val="0"/>
        <w:rPr>
          <w:sz w:val="28"/>
        </w:rPr>
      </w:pPr>
      <w:r>
        <w:rPr>
          <w:sz w:val="28"/>
        </w:rPr>
        <w:t>DATED JULY 1, 2000</w:t>
      </w:r>
    </w:p>
    <w:p>
      <w:pPr>
        <w:pStyle w:val="Normal"/>
        <w:widowControl w:val="false"/>
        <w:tabs>
          <w:tab w:val="clear" w:pos="720"/>
          <w:tab w:val="left" w:pos="0" w:leader="none"/>
          <w:tab w:val="right" w:pos="5202" w:leader="none"/>
        </w:tabs>
        <w:jc w:val="center"/>
        <w:rPr>
          <w:sz w:val="28"/>
        </w:rPr>
      </w:pPr>
      <w:r>
        <w:rPr>
          <w:sz w:val="28"/>
        </w:rPr>
        <w:t>BETWEEN PG&amp;E TEXAS INDUSTRIAL ENERGY, L.P.</w:t>
      </w:r>
    </w:p>
    <w:p>
      <w:pPr>
        <w:pStyle w:val="Normal"/>
        <w:widowControl w:val="false"/>
        <w:tabs>
          <w:tab w:val="clear" w:pos="720"/>
          <w:tab w:val="left" w:pos="0" w:leader="none"/>
          <w:tab w:val="right" w:pos="5202" w:leader="none"/>
        </w:tabs>
        <w:jc w:val="center"/>
        <w:rPr>
          <w:sz w:val="28"/>
        </w:rPr>
      </w:pPr>
      <w:r>
        <w:rPr>
          <w:sz w:val="28"/>
        </w:rPr>
        <w:t>AND</w:t>
      </w:r>
    </w:p>
    <w:p>
      <w:pPr>
        <w:pStyle w:val="Normal"/>
        <w:widowControl w:val="false"/>
        <w:tabs>
          <w:tab w:val="clear" w:pos="720"/>
          <w:tab w:val="left" w:pos="0" w:leader="none"/>
          <w:tab w:val="right" w:pos="5202" w:leader="none"/>
        </w:tabs>
        <w:jc w:val="center"/>
        <w:rPr>
          <w:sz w:val="28"/>
        </w:rPr>
      </w:pPr>
      <w:r>
        <w:rPr>
          <w:sz w:val="28"/>
        </w:rPr>
        <w:t>HOUSTON PIPE LINE COMPANY</w:t>
      </w:r>
    </w:p>
    <w:p>
      <w:pPr>
        <w:pStyle w:val="Normal"/>
        <w:widowControl w:val="false"/>
        <w:tabs>
          <w:tab w:val="clear" w:pos="720"/>
          <w:tab w:val="left" w:pos="0" w:leader="none"/>
          <w:tab w:val="right" w:pos="5202" w:leader="none"/>
        </w:tabs>
        <w:rPr>
          <w:sz w:val="28"/>
        </w:rPr>
      </w:pPr>
      <w:r>
        <w:rPr>
          <w:sz w:val="28"/>
        </w:rPr>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r>
    </w:p>
    <w:p>
      <w:pPr>
        <w:pStyle w:val="Normal"/>
        <w:widowControl w:val="false"/>
        <w:numPr>
          <w:ilvl w:val="0"/>
          <w:numId w:val="1"/>
        </w:numPr>
        <w:tabs>
          <w:tab w:val="clear" w:pos="720"/>
          <w:tab w:val="left" w:pos="0" w:leader="none"/>
        </w:tabs>
        <w:jc w:val="both"/>
        <w:outlineLvl w:val="0"/>
        <w:rPr>
          <w:sz w:val="24"/>
        </w:rPr>
      </w:pPr>
      <w:r>
        <w:rPr>
          <w:sz w:val="24"/>
        </w:rPr>
        <w:t>In order to clarify the intentions of both Parties in Section 1.3 delete the third sentence in its entirety and replace it with the following:</w:t>
      </w:r>
    </w:p>
    <w:p>
      <w:pPr>
        <w:pStyle w:val="Normal"/>
        <w:widowControl w:val="false"/>
        <w:numPr>
          <w:ilvl w:val="0"/>
          <w:numId w:val="0"/>
        </w:numPr>
        <w:tabs>
          <w:tab w:val="left" w:pos="0" w:leader="none"/>
          <w:tab w:val="left" w:pos="720" w:leader="none"/>
        </w:tabs>
        <w:ind w:end="-1350"/>
        <w:jc w:val="both"/>
        <w:outlineLvl w:val="0"/>
        <w:rPr>
          <w:sz w:val="24"/>
        </w:rPr>
      </w:pPr>
      <w:r>
        <w:rPr>
          <w:sz w:val="24"/>
        </w:rPr>
      </w:r>
    </w:p>
    <w:p>
      <w:pPr>
        <w:pStyle w:val="Normal"/>
        <w:widowControl w:val="false"/>
        <w:numPr>
          <w:ilvl w:val="0"/>
          <w:numId w:val="0"/>
        </w:numPr>
        <w:tabs>
          <w:tab w:val="left" w:pos="0" w:leader="none"/>
          <w:tab w:val="left" w:pos="720" w:leader="none"/>
        </w:tabs>
        <w:ind w:start="720" w:end="0"/>
        <w:jc w:val="both"/>
        <w:outlineLvl w:val="0"/>
        <w:rPr>
          <w:sz w:val="24"/>
        </w:rPr>
      </w:pPr>
      <w:r>
        <w:rPr>
          <w:sz w:val="24"/>
        </w:rPr>
        <w:t>If there are any material differences between timely sent Transaction Confirmations governing the same transaction, then the oral agreement reached under Section 1.2 shall be controlling and satisfy the statute of frauds.</w:t>
      </w:r>
    </w:p>
    <w:p>
      <w:pPr>
        <w:pStyle w:val="Normal"/>
        <w:widowControl w:val="false"/>
        <w:numPr>
          <w:ilvl w:val="0"/>
          <w:numId w:val="0"/>
        </w:numPr>
        <w:tabs>
          <w:tab w:val="left" w:pos="0" w:leader="none"/>
          <w:tab w:val="left" w:pos="720" w:leader="none"/>
        </w:tabs>
        <w:ind w:end="-1350"/>
        <w:jc w:val="both"/>
        <w:outlineLvl w:val="0"/>
        <w:rPr>
          <w:sz w:val="24"/>
        </w:rPr>
      </w:pPr>
      <w:r>
        <w:rPr>
          <w:sz w:val="24"/>
        </w:rPr>
      </w:r>
    </w:p>
    <w:p>
      <w:pPr>
        <w:pStyle w:val="Normal"/>
        <w:widowControl w:val="false"/>
        <w:numPr>
          <w:ilvl w:val="0"/>
          <w:numId w:val="0"/>
        </w:numPr>
        <w:tabs>
          <w:tab w:val="left" w:pos="0" w:leader="none"/>
          <w:tab w:val="left" w:pos="720" w:leader="none"/>
        </w:tabs>
        <w:ind w:end="-1350"/>
        <w:jc w:val="both"/>
        <w:outlineLvl w:val="0"/>
        <w:rPr>
          <w:sz w:val="24"/>
        </w:rPr>
      </w:pPr>
      <w:r>
        <w:rPr>
          <w:sz w:val="24"/>
        </w:rPr>
        <w:t>2.</w:t>
        <w:tab/>
        <w:t>The following paragraph will be added as Section 7.5 to the Base Contract.</w:t>
      </w:r>
    </w:p>
    <w:p>
      <w:pPr>
        <w:pStyle w:val="Normal"/>
        <w:widowControl w:val="false"/>
        <w:tabs>
          <w:tab w:val="left" w:pos="0" w:leader="none"/>
          <w:tab w:val="left" w:pos="720" w:leader="none"/>
          <w:tab w:val="right" w:pos="5202" w:leader="none"/>
        </w:tabs>
        <w:jc w:val="both"/>
        <w:rPr>
          <w:sz w:val="24"/>
        </w:rPr>
      </w:pPr>
      <w:r>
        <w:rPr>
          <w:sz w:val="24"/>
        </w:rPr>
      </w:r>
    </w:p>
    <w:p>
      <w:pPr>
        <w:pStyle w:val="Normal"/>
        <w:widowControl w:val="false"/>
        <w:tabs>
          <w:tab w:val="left" w:pos="720" w:leader="none"/>
          <w:tab w:val="right" w:pos="5202" w:leader="none"/>
        </w:tabs>
        <w:ind w:hanging="720" w:start="720" w:end="0"/>
        <w:jc w:val="both"/>
        <w:rPr>
          <w:sz w:val="24"/>
        </w:rPr>
      </w:pPr>
      <w:r>
        <w:rPr>
          <w:sz w:val="24"/>
        </w:rPr>
        <w:tab/>
        <w:t>If amounts are due on the same day in respect of two (2) or more Transactions, then such amounts with respect to each Party shall be aggregated and the party obligated to pay the larger aggregate amount shall pay the excess of the larger amount due from such party over the smaller amount due from the other Party.</w:t>
      </w:r>
    </w:p>
    <w:p>
      <w:pPr>
        <w:pStyle w:val="Normal"/>
        <w:widowControl w:val="false"/>
        <w:tabs>
          <w:tab w:val="left" w:pos="720" w:leader="none"/>
          <w:tab w:val="right" w:pos="5202" w:leader="none"/>
        </w:tabs>
        <w:ind w:hanging="720" w:start="720" w:end="0"/>
        <w:jc w:val="both"/>
        <w:rPr>
          <w:sz w:val="24"/>
        </w:rPr>
      </w:pPr>
      <w:r>
        <w:rPr>
          <w:sz w:val="24"/>
        </w:rPr>
      </w:r>
    </w:p>
    <w:p>
      <w:pPr>
        <w:pStyle w:val="Normal"/>
        <w:widowControl w:val="false"/>
        <w:tabs>
          <w:tab w:val="left" w:pos="720" w:leader="none"/>
          <w:tab w:val="right" w:pos="5202" w:leader="none"/>
        </w:tabs>
        <w:ind w:hanging="720" w:start="720" w:end="0"/>
        <w:jc w:val="both"/>
        <w:rPr>
          <w:sz w:val="24"/>
        </w:rPr>
      </w:pPr>
      <w:r>
        <w:rPr>
          <w:sz w:val="24"/>
        </w:rPr>
      </w:r>
    </w:p>
    <w:p>
      <w:pPr>
        <w:pStyle w:val="Normal"/>
        <w:ind w:hanging="720" w:start="720" w:end="0"/>
        <w:rPr>
          <w:sz w:val="24"/>
        </w:rPr>
      </w:pPr>
      <w:r>
        <w:rPr>
          <w:sz w:val="24"/>
        </w:rPr>
        <w:t>3.</w:t>
        <w:tab/>
        <w:t>Section 8.5 is added as a new section under Section 8 -Title, Warranty and Indemnity, as follows:</w:t>
      </w:r>
    </w:p>
    <w:p>
      <w:pPr>
        <w:pStyle w:val="Normal"/>
        <w:rPr>
          <w:sz w:val="24"/>
        </w:rPr>
      </w:pPr>
      <w:r>
        <w:rPr>
          <w:sz w:val="24"/>
        </w:rPr>
      </w:r>
    </w:p>
    <w:p>
      <w:pPr>
        <w:pStyle w:val="Normal"/>
        <w:ind w:start="720" w:end="0"/>
        <w:jc w:val="both"/>
        <w:rPr/>
      </w:pPr>
      <w:r>
        <w:rPr>
          <w:sz w:val="24"/>
        </w:rPr>
        <w:t xml:space="preserve">8.5  </w:t>
      </w:r>
      <w:r>
        <w:rPr>
          <w:sz w:val="24"/>
          <w:u w:val="single"/>
        </w:rPr>
        <w:t>Intrastate Warranted Gas</w:t>
      </w:r>
      <w:r>
        <w:rPr>
          <w:sz w:val="24"/>
        </w:rPr>
        <w:t xml:space="preserve">.  If the Delivery Point(s) for the Transaction are intrastate interconnections, (a) Seller represents and warrants to Buyer that all Gas will have been produced within the State of Texas and will not have been commingled by Seller with other Gas prior to the Delivery Point(s) which is or may be sold, consumed, transported or otherwise utilized in interstate commerce in such manner which would subject Buyer’s Transporter’s pipeline to the jurisdiction of the Federal Energy Regulatory Commission or an successor authority under the Natural Gas Act of 1938 and (b) Buyer represents and warrants to Seller that none of the Gas will be sold, consumed, transported or otherwise utilized outside the State of Texas or delivered to another party which will subsequently sell, consume, transport or otherwise use the Gas outside the State of Texas where such event would subject Buyer’s Transporter’s pipeline, Seller’s pipeline, or any portion of such pipelines to the jurisdiction of the Federal Energy Regulatory Commission or any successor authority under the Natural Gas Act of 1938.  </w:t>
      </w:r>
    </w:p>
    <w:p>
      <w:pPr>
        <w:pStyle w:val="Normal"/>
        <w:widowControl w:val="false"/>
        <w:tabs>
          <w:tab w:val="left" w:pos="720" w:leader="none"/>
          <w:tab w:val="right" w:pos="5202" w:leader="none"/>
        </w:tabs>
        <w:ind w:hanging="720" w:start="720" w:end="0"/>
        <w:jc w:val="both"/>
        <w:rPr>
          <w:sz w:val="24"/>
        </w:rPr>
      </w:pPr>
      <w:r>
        <w:rPr>
          <w:sz w:val="24"/>
        </w:rPr>
      </w:r>
    </w:p>
    <w:p>
      <w:pPr>
        <w:pStyle w:val="Normal"/>
        <w:widowControl w:val="false"/>
        <w:numPr>
          <w:ilvl w:val="0"/>
          <w:numId w:val="0"/>
        </w:numPr>
        <w:tabs>
          <w:tab w:val="left" w:pos="270" w:leader="none"/>
          <w:tab w:val="left" w:pos="720" w:leader="none"/>
          <w:tab w:val="right" w:pos="5202" w:leader="none"/>
        </w:tabs>
        <w:ind w:hanging="720" w:start="720" w:end="0"/>
        <w:jc w:val="both"/>
        <w:outlineLvl w:val="0"/>
        <w:rPr>
          <w:sz w:val="24"/>
        </w:rPr>
      </w:pPr>
      <w:r>
        <w:rPr>
          <w:sz w:val="24"/>
        </w:rPr>
        <w:t>4.</w:t>
        <w:tab/>
        <w:tab/>
        <w:t>Section 11.2 is deleted in its entirety and the following new Section 11.2 is inserted in its place:</w:t>
      </w:r>
    </w:p>
    <w:p>
      <w:pPr>
        <w:pStyle w:val="Normal"/>
        <w:widowControl w:val="false"/>
        <w:numPr>
          <w:ilvl w:val="0"/>
          <w:numId w:val="0"/>
        </w:numPr>
        <w:tabs>
          <w:tab w:val="left" w:pos="0" w:leader="none"/>
          <w:tab w:val="left" w:pos="720" w:leader="none"/>
          <w:tab w:val="right" w:pos="5202" w:leader="none"/>
        </w:tabs>
        <w:jc w:val="both"/>
        <w:outlineLvl w:val="0"/>
        <w:rPr>
          <w:sz w:val="24"/>
        </w:rPr>
      </w:pPr>
      <w:r>
        <w:rPr>
          <w:sz w:val="24"/>
        </w:rPr>
      </w:r>
    </w:p>
    <w:p>
      <w:pPr>
        <w:pStyle w:val="Normal"/>
        <w:widowControl w:val="false"/>
        <w:numPr>
          <w:ilvl w:val="0"/>
          <w:numId w:val="0"/>
        </w:numPr>
        <w:tabs>
          <w:tab w:val="left" w:pos="0" w:leader="none"/>
          <w:tab w:val="left" w:pos="720" w:leader="none"/>
          <w:tab w:val="right" w:pos="5202" w:leader="none"/>
        </w:tabs>
        <w:ind w:start="720" w:end="0"/>
        <w:jc w:val="both"/>
        <w:outlineLvl w:val="0"/>
        <w:rPr>
          <w:sz w:val="24"/>
        </w:rPr>
      </w:pPr>
      <w:r>
        <w:rPr>
          <w:sz w:val="24"/>
        </w:rPr>
        <w:t>11.2 Force Majeure means an event not anticipated as of the date hereof, which is not within the reasonable control of the Party, or in the case of third party obligations or facilities, the third party, claiming suspension, and which by the exercise of due diligence such Party, or third party, is unable to overcome or obtain or cause to be obtained a commercially reasonable substitute performance therefore;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Force Majeure.  Force Majeure shall include an event of Force Majeure occurring with respect to the facilities or services of Buyer's or Seller's Transporter."</w:t>
      </w:r>
    </w:p>
    <w:p>
      <w:pPr>
        <w:pStyle w:val="Normal"/>
        <w:widowControl w:val="false"/>
        <w:numPr>
          <w:ilvl w:val="0"/>
          <w:numId w:val="0"/>
        </w:numPr>
        <w:tabs>
          <w:tab w:val="left" w:pos="0" w:leader="none"/>
          <w:tab w:val="left" w:pos="720" w:leader="none"/>
          <w:tab w:val="right" w:pos="5202" w:leader="none"/>
        </w:tabs>
        <w:jc w:val="both"/>
        <w:outlineLvl w:val="0"/>
        <w:rPr>
          <w:sz w:val="24"/>
        </w:rPr>
      </w:pPr>
      <w:r>
        <w:rPr>
          <w:sz w:val="24"/>
        </w:rPr>
      </w:r>
    </w:p>
    <w:p>
      <w:pPr>
        <w:pStyle w:val="Normal"/>
        <w:widowControl w:val="false"/>
        <w:numPr>
          <w:ilvl w:val="0"/>
          <w:numId w:val="0"/>
        </w:numPr>
        <w:tabs>
          <w:tab w:val="left" w:pos="0" w:leader="none"/>
          <w:tab w:val="left" w:pos="720" w:leader="none"/>
          <w:tab w:val="right" w:pos="5202" w:leader="none"/>
        </w:tabs>
        <w:jc w:val="both"/>
        <w:outlineLvl w:val="0"/>
        <w:rPr>
          <w:sz w:val="24"/>
        </w:rPr>
      </w:pPr>
      <w:r>
        <w:rPr>
          <w:sz w:val="24"/>
        </w:rPr>
        <w:t>5.</w:t>
        <w:tab/>
        <w:t>The following sentence will be added to Section 12 to the Base Contract.</w:t>
      </w:r>
    </w:p>
    <w:p>
      <w:pPr>
        <w:pStyle w:val="Normal"/>
        <w:widowControl w:val="false"/>
        <w:tabs>
          <w:tab w:val="left" w:pos="0" w:leader="none"/>
          <w:tab w:val="left" w:pos="720" w:leader="none"/>
          <w:tab w:val="right" w:pos="5202" w:leader="none"/>
        </w:tabs>
        <w:jc w:val="both"/>
        <w:rPr>
          <w:sz w:val="24"/>
        </w:rPr>
      </w:pPr>
      <w:r>
        <w:rPr>
          <w:sz w:val="24"/>
        </w:rPr>
      </w:r>
    </w:p>
    <w:p>
      <w:pPr>
        <w:pStyle w:val="Normal"/>
        <w:widowControl w:val="false"/>
        <w:tabs>
          <w:tab w:val="left" w:pos="720" w:leader="none"/>
          <w:tab w:val="right" w:pos="5202" w:leader="none"/>
        </w:tabs>
        <w:ind w:hanging="720" w:start="720" w:end="0"/>
        <w:jc w:val="both"/>
        <w:rPr>
          <w:sz w:val="24"/>
        </w:rPr>
      </w:pPr>
      <w:r>
        <w:rPr>
          <w:sz w:val="24"/>
        </w:rPr>
        <w:tab/>
        <w:t>In no instance may any individual Transaction, as shown on a Transaction Confirmation or recorded on a transaction tape, be for a time period greater than one calendar month.</w:t>
      </w:r>
    </w:p>
    <w:p>
      <w:pPr>
        <w:pStyle w:val="Normal"/>
        <w:widowControl w:val="false"/>
        <w:tabs>
          <w:tab w:val="left" w:pos="720" w:leader="none"/>
          <w:tab w:val="right" w:pos="5202" w:leader="none"/>
        </w:tabs>
        <w:ind w:hanging="720" w:start="720" w:end="0"/>
        <w:jc w:val="both"/>
        <w:rPr>
          <w:sz w:val="24"/>
        </w:rPr>
      </w:pPr>
      <w:r>
        <w:rPr>
          <w:sz w:val="24"/>
        </w:rPr>
      </w:r>
    </w:p>
    <w:p>
      <w:pPr>
        <w:pStyle w:val="Normal"/>
        <w:widowControl w:val="false"/>
        <w:numPr>
          <w:ilvl w:val="0"/>
          <w:numId w:val="0"/>
        </w:numPr>
        <w:tabs>
          <w:tab w:val="clear" w:pos="720"/>
          <w:tab w:val="left" w:pos="0" w:leader="none"/>
          <w:tab w:val="right" w:pos="5202" w:leader="none"/>
        </w:tabs>
        <w:jc w:val="both"/>
        <w:outlineLvl w:val="0"/>
        <w:rPr>
          <w:sz w:val="24"/>
        </w:rPr>
      </w:pPr>
      <w:r>
        <w:rPr>
          <w:sz w:val="24"/>
        </w:rPr>
        <w:t>6.</w:t>
        <w:tab/>
        <w:t xml:space="preserve">         Section 13 is modified by inserting the following new Section 13.9:</w:t>
      </w:r>
    </w:p>
    <w:p>
      <w:pPr>
        <w:pStyle w:val="Normal"/>
        <w:widowControl w:val="false"/>
        <w:numPr>
          <w:ilvl w:val="0"/>
          <w:numId w:val="0"/>
        </w:numPr>
        <w:tabs>
          <w:tab w:val="left" w:pos="0" w:leader="none"/>
          <w:tab w:val="left" w:pos="720" w:leader="none"/>
          <w:tab w:val="right" w:pos="5202" w:leader="none"/>
        </w:tabs>
        <w:jc w:val="both"/>
        <w:outlineLvl w:val="0"/>
        <w:rPr>
          <w:sz w:val="24"/>
        </w:rPr>
      </w:pPr>
      <w:r>
        <w:rPr>
          <w:sz w:val="24"/>
        </w:rPr>
      </w:r>
    </w:p>
    <w:p>
      <w:pPr>
        <w:pStyle w:val="Normal"/>
        <w:widowControl w:val="false"/>
        <w:numPr>
          <w:ilvl w:val="0"/>
          <w:numId w:val="0"/>
        </w:numPr>
        <w:tabs>
          <w:tab w:val="left" w:pos="0" w:leader="none"/>
          <w:tab w:val="left" w:pos="720" w:leader="none"/>
          <w:tab w:val="right" w:pos="5202" w:leader="none"/>
        </w:tabs>
        <w:ind w:start="720" w:end="0"/>
        <w:jc w:val="both"/>
        <w:outlineLvl w:val="0"/>
        <w:rPr>
          <w:sz w:val="24"/>
        </w:rPr>
      </w:pPr>
      <w:r>
        <w:rPr>
          <w:sz w:val="24"/>
        </w:rPr>
        <w:t>Section 13.9 Any dispute relating to this Agreement shall be resolved by binding, self-administered arbitration pursuant to the Commercial Arbitration Rules of the American Arbitration Association ("AAA") and all such proceedings shall be subject to the Federal Arbitration Act.  A single arbitrator shall be selected under the expected rules of the AAA.  Only damages allowed pursuant to this Agreement may be awarded and the arbitrator shall have no authority to award treble, exemplary or punitive damages of any type under any circumstances regardless of whether such damages may be available under Texas law.</w:t>
      </w:r>
    </w:p>
    <w:p>
      <w:pPr>
        <w:pStyle w:val="Normal"/>
        <w:widowControl w:val="false"/>
        <w:numPr>
          <w:ilvl w:val="0"/>
          <w:numId w:val="0"/>
        </w:numPr>
        <w:tabs>
          <w:tab w:val="left" w:pos="0" w:leader="none"/>
          <w:tab w:val="left" w:pos="720" w:leader="none"/>
          <w:tab w:val="right" w:pos="5202" w:leader="none"/>
        </w:tabs>
        <w:jc w:val="both"/>
        <w:outlineLvl w:val="0"/>
        <w:rPr>
          <w:sz w:val="24"/>
        </w:rPr>
      </w:pPr>
      <w:r>
        <w:rPr>
          <w:sz w:val="24"/>
        </w:rPr>
      </w:r>
    </w:p>
    <w:p>
      <w:pPr>
        <w:pStyle w:val="Normal"/>
        <w:widowControl w:val="false"/>
        <w:numPr>
          <w:ilvl w:val="0"/>
          <w:numId w:val="0"/>
        </w:numPr>
        <w:tabs>
          <w:tab w:val="left" w:pos="0" w:leader="none"/>
          <w:tab w:val="left" w:pos="720" w:leader="none"/>
          <w:tab w:val="right" w:pos="5202" w:leader="none"/>
        </w:tabs>
        <w:jc w:val="both"/>
        <w:outlineLvl w:val="0"/>
        <w:rPr>
          <w:sz w:val="24"/>
        </w:rPr>
      </w:pPr>
      <w:r>
        <w:rPr>
          <w:sz w:val="24"/>
        </w:rPr>
        <w:t>7.</w:t>
        <w:tab/>
        <w:t>The following paragraph will be added as Section 13.10 to the Base Contract.</w:t>
      </w:r>
    </w:p>
    <w:p>
      <w:pPr>
        <w:pStyle w:val="Normal"/>
        <w:widowControl w:val="false"/>
        <w:tabs>
          <w:tab w:val="left" w:pos="0" w:leader="none"/>
          <w:tab w:val="left" w:pos="720" w:leader="none"/>
          <w:tab w:val="right" w:pos="5202" w:leader="none"/>
        </w:tabs>
        <w:jc w:val="both"/>
        <w:rPr>
          <w:sz w:val="24"/>
        </w:rPr>
      </w:pPr>
      <w:r>
        <w:rPr>
          <w:sz w:val="24"/>
        </w:rPr>
      </w:r>
    </w:p>
    <w:p>
      <w:pPr>
        <w:pStyle w:val="Normal"/>
        <w:widowControl w:val="false"/>
        <w:tabs>
          <w:tab w:val="left" w:pos="720" w:leader="none"/>
          <w:tab w:val="right" w:pos="5202" w:leader="none"/>
        </w:tabs>
        <w:ind w:hanging="720" w:start="720" w:end="0"/>
        <w:jc w:val="both"/>
        <w:rPr>
          <w:sz w:val="24"/>
        </w:rPr>
      </w:pPr>
      <w:r>
        <w:rPr>
          <w:sz w:val="24"/>
        </w:rPr>
        <w:tab/>
        <w:t>Each Party consents to and has obtained any necessary consent of its employees to the recording of its employee's telephone conversations without further notice.  Each Party agrees that a tape may be used as evidence to resolve a disputed confirmation.</w:t>
      </w:r>
    </w:p>
    <w:p>
      <w:pPr>
        <w:pStyle w:val="Normal"/>
        <w:widowControl w:val="false"/>
        <w:tabs>
          <w:tab w:val="left" w:pos="0" w:leader="none"/>
          <w:tab w:val="left" w:pos="720" w:leader="none"/>
          <w:tab w:val="right" w:pos="5202" w:leader="none"/>
        </w:tabs>
        <w:jc w:val="both"/>
        <w:rPr>
          <w:sz w:val="24"/>
        </w:rPr>
      </w:pPr>
      <w:r>
        <w:rPr>
          <w:sz w:val="24"/>
        </w:rPr>
      </w:r>
    </w:p>
    <w:p>
      <w:pPr>
        <w:pStyle w:val="Normal"/>
        <w:widowControl w:val="false"/>
        <w:tabs>
          <w:tab w:val="clear" w:pos="720"/>
          <w:tab w:val="left" w:pos="0" w:leader="none"/>
          <w:tab w:val="right" w:pos="5202" w:leader="none"/>
        </w:tabs>
        <w:jc w:val="both"/>
        <w:rPr>
          <w:sz w:val="24"/>
        </w:rPr>
      </w:pPr>
      <w:r>
        <w:rPr>
          <w:sz w:val="24"/>
        </w:rPr>
      </w:r>
    </w:p>
    <w:sectPr>
      <w:footerReference w:type="default" r:id="rId2"/>
      <w:type w:val="nextPage"/>
      <w:pgSz w:w="12240" w:h="15840"/>
      <w:pgMar w:left="1440" w:right="1440" w:gutter="0" w:header="0" w:top="72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n:\\houston pl spec prov.doc</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20"/>
        </w:tabs>
        <w:ind w:start="720" w:hanging="72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2000-08-23T19:03:00Z</dcterms:created>
  <dc:creator>car162</dc:creator>
  <dc:description/>
  <dc:language>en-CA</dc:language>
  <cp:lastModifiedBy>dperlin</cp:lastModifiedBy>
  <cp:lastPrinted>2000-08-28T11:43:00Z</cp:lastPrinted>
  <dcterms:modified xsi:type="dcterms:W3CDTF">2000-08-28T14:20:00Z</dcterms:modified>
  <cp:revision>3</cp:revision>
  <dc:subject/>
  <dc:title>PG&amp;E Energy Trading Gas Corporation is not the same company as Pacific Gas and Electric Company, the utility, PG&amp;E Energy Trading - Gas Corporation is not regulated by the California Public Utilities Commission</dc:title>
</cp:coreProperties>
</file>