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t>Term Sheet</w:t>
      </w:r>
    </w:p>
    <w:p>
      <w:pPr>
        <w:pStyle w:val="Normal"/>
        <w:jc w:val="center"/>
        <w:rPr>
          <w:sz w:val="20"/>
        </w:rPr>
      </w:pPr>
      <w:r>
        <w:rPr>
          <w:sz w:val="20"/>
        </w:rPr>
        <w:t xml:space="preserve">EES/EEMC </w:t>
      </w:r>
    </w:p>
    <w:p>
      <w:pPr>
        <w:pStyle w:val="Normal"/>
        <w:jc w:val="center"/>
        <w:rPr>
          <w:sz w:val="20"/>
        </w:rPr>
      </w:pPr>
      <w:r>
        <w:rPr>
          <w:sz w:val="20"/>
        </w:rPr>
        <w:t>Direct Access Energy Credit</w:t>
      </w:r>
    </w:p>
    <w:p>
      <w:pPr>
        <w:pStyle w:val="Normal"/>
        <w:jc w:val="center"/>
        <w:rPr>
          <w:sz w:val="20"/>
        </w:rPr>
      </w:pPr>
      <w:r>
        <w:rPr>
          <w:sz w:val="20"/>
        </w:rPr>
      </w:r>
    </w:p>
    <w:p>
      <w:pPr>
        <w:pStyle w:val="Normal"/>
        <w:rPr>
          <w:sz w:val="20"/>
        </w:rPr>
      </w:pPr>
      <w:r>
        <w:rPr>
          <w:sz w:val="20"/>
        </w:rPr>
        <w:t>Assumptions:</w:t>
      </w:r>
    </w:p>
    <w:p>
      <w:pPr>
        <w:pStyle w:val="Normal"/>
        <w:rPr>
          <w:sz w:val="20"/>
        </w:rPr>
      </w:pPr>
      <w:r>
        <w:rPr>
          <w:sz w:val="20"/>
        </w:rPr>
        <w:t>PG&amp;E rates will remain frozen until the earlier of 1) the CPUC determines the rate freeze has ended or</w:t>
      </w:r>
    </w:p>
    <w:p>
      <w:pPr>
        <w:pStyle w:val="Normal"/>
        <w:rPr>
          <w:sz w:val="20"/>
        </w:rPr>
      </w:pPr>
      <w:r>
        <w:rPr>
          <w:sz w:val="20"/>
        </w:rPr>
        <w:t xml:space="preserve">2) March 31, 2002.  It is not likely the rate freeze will end prior to March 31, 2002, however we need language to address this in case it happens. </w:t>
      </w:r>
    </w:p>
    <w:p>
      <w:pPr>
        <w:pStyle w:val="Normal"/>
        <w:rPr>
          <w:sz w:val="20"/>
        </w:rPr>
      </w:pPr>
      <w:r>
        <w:rPr>
          <w:sz w:val="20"/>
        </w:rPr>
      </w:r>
    </w:p>
    <w:p>
      <w:pPr>
        <w:pStyle w:val="Normal"/>
        <w:rPr>
          <w:sz w:val="20"/>
        </w:rPr>
      </w:pPr>
      <w:r>
        <w:rPr>
          <w:sz w:val="20"/>
        </w:rPr>
        <w:t>Current Application:</w:t>
      </w:r>
    </w:p>
    <w:p>
      <w:pPr>
        <w:pStyle w:val="Normal"/>
        <w:rPr>
          <w:sz w:val="20"/>
        </w:rPr>
      </w:pPr>
      <w:r>
        <w:rPr>
          <w:sz w:val="20"/>
        </w:rPr>
        <w:t xml:space="preserve">The current tariff (AB1890) requires PG&amp;E give a Direct Access Energy Credit to all Direct Access accounts until the end of the rate freeze. </w:t>
      </w:r>
    </w:p>
    <w:p>
      <w:pPr>
        <w:pStyle w:val="Normal"/>
        <w:rPr>
          <w:sz w:val="20"/>
        </w:rPr>
      </w:pPr>
      <w:r>
        <w:rPr>
          <w:sz w:val="20"/>
        </w:rPr>
      </w:r>
    </w:p>
    <w:p>
      <w:pPr>
        <w:pStyle w:val="Normal"/>
        <w:rPr>
          <w:sz w:val="20"/>
        </w:rPr>
      </w:pPr>
      <w:r>
        <w:rPr>
          <w:sz w:val="20"/>
        </w:rPr>
        <w:t>The utility tariff requires PG&amp;E to “unbundled” the tariff and determine an Embedded Generation Rate.</w:t>
      </w:r>
    </w:p>
    <w:p>
      <w:pPr>
        <w:pStyle w:val="Normal"/>
        <w:rPr>
          <w:sz w:val="20"/>
        </w:rPr>
      </w:pPr>
      <w:r>
        <w:rPr>
          <w:sz w:val="20"/>
        </w:rPr>
      </w:r>
    </w:p>
    <w:p>
      <w:pPr>
        <w:pStyle w:val="Normal"/>
        <w:rPr>
          <w:sz w:val="20"/>
        </w:rPr>
      </w:pPr>
      <w:r>
        <w:rPr>
          <w:sz w:val="20"/>
        </w:rPr>
        <w:t>If the Direct Access Energy Credit is larger than the Embedded Generation Rate, the result is considered a Negative CTC charge and accrues to the ESP as a credit on the utility bill.  If the Direct Access Energy Credit is smaller than the Embedded Generation Rate, the result is considered a CTC Charge and increases the amount due to the utility on the utility bill.  (Examples of this is attached)</w:t>
      </w:r>
    </w:p>
    <w:p>
      <w:pPr>
        <w:pStyle w:val="Normal"/>
        <w:rPr>
          <w:sz w:val="20"/>
        </w:rPr>
      </w:pPr>
      <w:r>
        <w:rPr>
          <w:sz w:val="20"/>
        </w:rPr>
      </w:r>
    </w:p>
    <w:p>
      <w:pPr>
        <w:pStyle w:val="Normal"/>
        <w:rPr>
          <w:sz w:val="20"/>
        </w:rPr>
      </w:pPr>
      <w:r>
        <w:rPr>
          <w:sz w:val="20"/>
        </w:rPr>
        <w:t>Commercial Terms:</w:t>
      </w:r>
    </w:p>
    <w:p>
      <w:pPr>
        <w:pStyle w:val="Normal"/>
        <w:rPr>
          <w:sz w:val="20"/>
        </w:rPr>
      </w:pPr>
      <w:r>
        <w:rPr>
          <w:sz w:val="20"/>
        </w:rPr>
        <w:t xml:space="preserve">It is the desire of both parties to eliminate any financial impact (positive or negative) attributable to the difference between the Direct Access Energy Credit and the Embedded Generation Rate.   The parties hereby acknowledge that the utility may be required to represent or calculate the Direct Access Energy Credit, or have represented and calculated the Direct Access Energy Credit, differently over the term of this agreement.  </w:t>
      </w:r>
    </w:p>
    <w:p>
      <w:pPr>
        <w:pStyle w:val="Normal"/>
        <w:rPr>
          <w:sz w:val="20"/>
        </w:rPr>
      </w:pPr>
      <w:r>
        <w:rPr>
          <w:sz w:val="20"/>
        </w:rPr>
      </w:r>
    </w:p>
    <w:p>
      <w:pPr>
        <w:pStyle w:val="Normal"/>
        <w:rPr>
          <w:sz w:val="20"/>
        </w:rPr>
      </w:pPr>
      <w:r>
        <w:rPr>
          <w:sz w:val="20"/>
        </w:rPr>
        <w:t>Therefore:</w:t>
      </w:r>
    </w:p>
    <w:p>
      <w:pPr>
        <w:pStyle w:val="Normal"/>
        <w:rPr>
          <w:sz w:val="20"/>
        </w:rPr>
      </w:pPr>
      <w:r>
        <w:rPr>
          <w:sz w:val="20"/>
        </w:rPr>
        <w:t xml:space="preserve">The utility hereby represents the amount of the Direct Access Energy Credit needed to completely offset the Embedded Generation Rate is .54 cents per KwH.   The utility also represents this amount (.54 cents per KwH) may be adjusted from time to time, if the tariff changes, and at all times, the amount of the Direct Access Energy Credit will completely offset the Embedded Generation Rate, and Enron’s cost to serve it’s direct access customers is fixed over the term of this agreement.  </w:t>
      </w:r>
    </w:p>
    <w:p>
      <w:pPr>
        <w:pStyle w:val="Normal"/>
        <w:rPr>
          <w:sz w:val="20"/>
        </w:rPr>
      </w:pPr>
      <w:r>
        <w:rPr>
          <w:sz w:val="20"/>
        </w:rPr>
      </w:r>
    </w:p>
    <w:p>
      <w:pPr>
        <w:pStyle w:val="Normal"/>
        <w:numPr>
          <w:ilvl w:val="0"/>
          <w:numId w:val="1"/>
        </w:numPr>
        <w:rPr>
          <w:sz w:val="20"/>
        </w:rPr>
      </w:pPr>
      <w:r>
        <w:rPr>
          <w:sz w:val="20"/>
        </w:rPr>
        <w:t>Term of Contract:  April 01 – March 02</w:t>
      </w:r>
    </w:p>
    <w:p>
      <w:pPr>
        <w:pStyle w:val="Normal"/>
        <w:numPr>
          <w:ilvl w:val="0"/>
          <w:numId w:val="1"/>
        </w:numPr>
        <w:rPr>
          <w:sz w:val="20"/>
        </w:rPr>
      </w:pPr>
      <w:r>
        <w:rPr>
          <w:sz w:val="20"/>
        </w:rPr>
        <w:t xml:space="preserve">Volumes:  All actual volumes attributable to EEMC’s and EES’s Direct Access Accounts </w:t>
      </w:r>
    </w:p>
    <w:p>
      <w:pPr>
        <w:pStyle w:val="Normal"/>
        <w:numPr>
          <w:ilvl w:val="0"/>
          <w:numId w:val="1"/>
        </w:numPr>
        <w:rPr>
          <w:sz w:val="20"/>
        </w:rPr>
      </w:pPr>
      <w:r>
        <w:rPr>
          <w:sz w:val="20"/>
        </w:rPr>
        <w:t xml:space="preserve">Price:  </w:t>
      </w:r>
    </w:p>
    <w:p>
      <w:pPr>
        <w:pStyle w:val="Normal"/>
        <w:numPr>
          <w:ilvl w:val="1"/>
          <w:numId w:val="1"/>
        </w:numPr>
        <w:rPr>
          <w:sz w:val="20"/>
        </w:rPr>
      </w:pPr>
      <w:r>
        <w:rPr>
          <w:sz w:val="20"/>
        </w:rPr>
        <w:t xml:space="preserve">EES and EEMC shall receive an amount representing the difference between the Embedded Generation Rate and the Direct Access Energy Credit, when positive, i.e. CTC Charges, on each months utility bills. </w:t>
      </w:r>
    </w:p>
    <w:p>
      <w:pPr>
        <w:pStyle w:val="Normal"/>
        <w:rPr>
          <w:sz w:val="20"/>
        </w:rPr>
      </w:pPr>
      <w:r>
        <w:rPr>
          <w:sz w:val="20"/>
        </w:rPr>
      </w:r>
    </w:p>
    <w:p>
      <w:pPr>
        <w:pStyle w:val="Normal"/>
        <w:numPr>
          <w:ilvl w:val="1"/>
          <w:numId w:val="1"/>
        </w:numPr>
        <w:rPr>
          <w:sz w:val="20"/>
        </w:rPr>
      </w:pPr>
      <w:r>
        <w:rPr>
          <w:sz w:val="20"/>
        </w:rPr>
        <w:t xml:space="preserve">EES and EEMC shall pay an amount representing the difference between the Embedded Generation Rate and the Direct Access Energy Credit, when negative, i.e. the Negative CTC Charges, on each months utility bills.   </w:t>
      </w:r>
    </w:p>
    <w:p>
      <w:pPr>
        <w:pStyle w:val="Normal"/>
        <w:rPr>
          <w:sz w:val="20"/>
        </w:rPr>
      </w:pPr>
      <w:r>
        <w:rPr>
          <w:sz w:val="20"/>
        </w:rPr>
      </w:r>
    </w:p>
    <w:p>
      <w:pPr>
        <w:pStyle w:val="Normal"/>
        <w:rPr>
          <w:sz w:val="20"/>
        </w:rPr>
      </w:pPr>
      <w:r>
        <w:rPr>
          <w:sz w:val="20"/>
        </w:rPr>
        <w:t>Settlement Process:</w:t>
      </w:r>
    </w:p>
    <w:p>
      <w:pPr>
        <w:pStyle w:val="Normal"/>
        <w:rPr/>
      </w:pPr>
      <w:r>
        <w:rPr>
          <w:sz w:val="20"/>
        </w:rPr>
        <w:tab/>
        <w:t>EES and EEMC shall calculate the amount due each month by determining the difference between the Direct Access Energy Credit and .54 cents per KwH times the monthly volumes.  Volumes will be considered as part of the “from” bill cycle month when the "from" date is for the 1</w:t>
      </w:r>
      <w:r>
        <w:rPr>
          <w:sz w:val="20"/>
          <w:vertAlign w:val="superscript"/>
        </w:rPr>
        <w:t>st</w:t>
      </w:r>
      <w:r>
        <w:rPr>
          <w:sz w:val="20"/>
        </w:rPr>
        <w:t xml:space="preserve"> through the 15</w:t>
      </w:r>
      <w:r>
        <w:rPr>
          <w:sz w:val="20"/>
          <w:vertAlign w:val="superscript"/>
        </w:rPr>
        <w:t>th</w:t>
      </w:r>
      <w:r>
        <w:rPr>
          <w:sz w:val="20"/>
        </w:rPr>
        <w:t xml:space="preserve"> of the bill cycle month.  When the “from” date is for the 16</w:t>
      </w:r>
      <w:r>
        <w:rPr>
          <w:sz w:val="20"/>
          <w:vertAlign w:val="superscript"/>
        </w:rPr>
        <w:t>th</w:t>
      </w:r>
      <w:r>
        <w:rPr>
          <w:sz w:val="20"/>
        </w:rPr>
        <w:t xml:space="preserve"> through the end of the month, the volume will be considered as part of the “to” bill cycle month.  </w:t>
      </w:r>
    </w:p>
    <w:p>
      <w:pPr>
        <w:pStyle w:val="Normal"/>
        <w:rPr>
          <w:sz w:val="20"/>
        </w:rPr>
      </w:pPr>
      <w:r>
        <w:rPr>
          <w:sz w:val="20"/>
        </w:rPr>
        <w:tab/>
        <w:tab/>
        <w:t>Example:</w:t>
      </w:r>
    </w:p>
    <w:p>
      <w:pPr>
        <w:pStyle w:val="Normal"/>
        <w:rPr/>
      </w:pPr>
      <w:r>
        <w:rPr>
          <w:sz w:val="20"/>
        </w:rPr>
        <w:tab/>
        <w:tab/>
        <w:tab/>
        <w:t>Utility Bill Cycle - April 5</w:t>
      </w:r>
      <w:r>
        <w:rPr>
          <w:sz w:val="20"/>
          <w:vertAlign w:val="superscript"/>
        </w:rPr>
        <w:t>th</w:t>
      </w:r>
      <w:r>
        <w:rPr>
          <w:sz w:val="20"/>
        </w:rPr>
        <w:t xml:space="preserve"> - May 4</w:t>
      </w:r>
      <w:r>
        <w:rPr>
          <w:sz w:val="20"/>
          <w:vertAlign w:val="superscript"/>
        </w:rPr>
        <w:t>th</w:t>
      </w:r>
      <w:r>
        <w:rPr>
          <w:sz w:val="20"/>
        </w:rPr>
        <w:t xml:space="preserve">  </w:t>
      </w:r>
    </w:p>
    <w:p>
      <w:pPr>
        <w:pStyle w:val="Normal"/>
        <w:ind w:start="2160" w:end="0"/>
        <w:rPr>
          <w:sz w:val="20"/>
        </w:rPr>
      </w:pPr>
      <w:r>
        <w:rPr>
          <w:sz w:val="20"/>
        </w:rPr>
        <w:t>(All volumes would be considered as April volumes and settled on June 5th)</w:t>
      </w:r>
    </w:p>
    <w:p>
      <w:pPr>
        <w:pStyle w:val="Normal"/>
        <w:rPr>
          <w:sz w:val="20"/>
        </w:rPr>
      </w:pPr>
      <w:r>
        <w:rPr>
          <w:sz w:val="20"/>
        </w:rPr>
        <w:tab/>
        <w:tab/>
        <w:tab/>
        <w:t>Utility Bill Cycle – April 17</w:t>
      </w:r>
      <w:r>
        <w:rPr>
          <w:sz w:val="20"/>
          <w:vertAlign w:val="superscript"/>
        </w:rPr>
        <w:t>th</w:t>
      </w:r>
      <w:r>
        <w:rPr>
          <w:sz w:val="20"/>
        </w:rPr>
        <w:t xml:space="preserve"> – May 16</w:t>
      </w:r>
      <w:r>
        <w:rPr>
          <w:sz w:val="20"/>
          <w:vertAlign w:val="superscript"/>
        </w:rPr>
        <w:t>th</w:t>
      </w:r>
    </w:p>
    <w:p>
      <w:pPr>
        <w:pStyle w:val="Normal"/>
        <w:ind w:start="2160" w:end="0"/>
        <w:rPr>
          <w:sz w:val="20"/>
        </w:rPr>
      </w:pPr>
      <w:r>
        <w:rPr>
          <w:sz w:val="20"/>
        </w:rPr>
        <w:t>(All volumes would be considered as May volumes and settled on July 5th)</w:t>
      </w:r>
    </w:p>
    <w:p>
      <w:pPr>
        <w:pStyle w:val="Normal"/>
        <w:rPr>
          <w:sz w:val="20"/>
        </w:rPr>
      </w:pPr>
      <w:r>
        <w:rPr>
          <w:sz w:val="20"/>
        </w:rPr>
      </w:r>
    </w:p>
    <w:p>
      <w:pPr>
        <w:pStyle w:val="Normal"/>
        <w:rPr/>
      </w:pPr>
      <w:r>
        <w:rPr>
          <w:sz w:val="20"/>
        </w:rPr>
        <w:t>The settlement value for any given month should be determined by Enron and provided to PG&amp;E on the last business day of the “to” month.  PG&amp;E and Enron agree to settle these amounts on the 5</w:t>
      </w:r>
      <w:r>
        <w:rPr>
          <w:sz w:val="20"/>
          <w:vertAlign w:val="superscript"/>
        </w:rPr>
        <w:t>th</w:t>
      </w:r>
      <w:r>
        <w:rPr>
          <w:sz w:val="20"/>
        </w:rPr>
        <w:t xml:space="preserve"> of the following month.  All amounts owed to PG&amp;E will be netted against amounts owed to Enron.  </w:t>
      </w:r>
    </w:p>
    <w:p>
      <w:pPr>
        <w:pStyle w:val="Normal"/>
        <w:rPr>
          <w:sz w:val="20"/>
        </w:rPr>
      </w:pPr>
      <w:r>
        <w:rPr>
          <w:sz w:val="20"/>
        </w:rPr>
      </w:r>
    </w:p>
    <w:p>
      <w:pPr>
        <w:pStyle w:val="Normal"/>
        <w:rPr>
          <w:sz w:val="20"/>
        </w:rPr>
      </w:pPr>
      <w:r>
        <w:rPr>
          <w:sz w:val="20"/>
        </w:rPr>
      </w:r>
    </w:p>
    <w:p>
      <w:pPr>
        <w:pStyle w:val="Normal"/>
        <w:rPr>
          <w:sz w:val="20"/>
        </w:rPr>
      </w:pPr>
      <w:r>
        <w:rPr>
          <w:sz w:val="20"/>
        </w:rPr>
        <w:tab/>
        <w:tab/>
        <w:tab/>
        <w:tab/>
        <w:tab/>
        <w:tab/>
        <w:tab/>
      </w:r>
    </w:p>
    <w:p>
      <w:pPr>
        <w:pStyle w:val="Normal"/>
        <w:jc w:val="center"/>
        <w:rPr>
          <w:sz w:val="20"/>
        </w:rPr>
      </w:pPr>
      <w:r>
        <w:rPr>
          <w:sz w:val="20"/>
        </w:rPr>
        <w:t>Example of Utility Bill Calculations</w:t>
      </w:r>
    </w:p>
    <w:p>
      <w:pPr>
        <w:pStyle w:val="Normal"/>
        <w:rPr>
          <w:sz w:val="20"/>
        </w:rPr>
      </w:pPr>
      <w:r>
        <w:rPr>
          <w:sz w:val="20"/>
        </w:rPr>
        <w:tab/>
        <w:tab/>
        <w:tab/>
        <w:tab/>
        <w:tab/>
        <w:tab/>
        <w:tab/>
      </w:r>
    </w:p>
    <w:p>
      <w:pPr>
        <w:pStyle w:val="Normal"/>
        <w:rPr>
          <w:sz w:val="20"/>
        </w:rPr>
      </w:pPr>
      <w:r>
        <w:rPr>
          <w:sz w:val="20"/>
        </w:rPr>
        <w:tab/>
        <w:tab/>
        <w:tab/>
        <w:tab/>
        <w:t xml:space="preserve">       DA Credit </w:t>
        <w:tab/>
        <w:tab/>
        <w:tab/>
        <w:t xml:space="preserve">DA Credit </w:t>
      </w:r>
    </w:p>
    <w:p>
      <w:pPr>
        <w:pStyle w:val="Normal"/>
        <w:rPr>
          <w:sz w:val="20"/>
        </w:rPr>
      </w:pPr>
      <w:r>
        <w:rPr>
          <w:sz w:val="20"/>
        </w:rPr>
        <w:tab/>
        <w:tab/>
        <w:tab/>
        <w:tab/>
        <w:t>Exceeds Gen Credit</w:t>
        <w:tab/>
        <w:t xml:space="preserve">      Less Than Gen Credit</w:t>
      </w:r>
    </w:p>
    <w:p>
      <w:pPr>
        <w:pStyle w:val="Normal"/>
        <w:rPr>
          <w:sz w:val="20"/>
        </w:rPr>
      </w:pPr>
      <w:r>
        <w:rPr>
          <w:sz w:val="20"/>
        </w:rPr>
        <w:t>Utility Bill Calculation:</w:t>
        <w:tab/>
        <w:tab/>
        <w:tab/>
        <w:tab/>
        <w:tab/>
        <w:tab/>
        <w:tab/>
      </w:r>
    </w:p>
    <w:p>
      <w:pPr>
        <w:pStyle w:val="Normal"/>
        <w:rPr>
          <w:sz w:val="20"/>
        </w:rPr>
      </w:pPr>
      <w:r>
        <w:rPr>
          <w:sz w:val="20"/>
        </w:rPr>
        <w:t xml:space="preserve">Fully Bundled Frozen Tariff </w:t>
        <w:tab/>
        <w:tab/>
        <w:t>100</w:t>
        <w:tab/>
        <w:tab/>
        <w:tab/>
        <w:t xml:space="preserve">      100</w:t>
      </w:r>
    </w:p>
    <w:p>
      <w:pPr>
        <w:pStyle w:val="Normal"/>
        <w:rPr>
          <w:sz w:val="20"/>
        </w:rPr>
      </w:pPr>
      <w:r>
        <w:rPr>
          <w:sz w:val="20"/>
        </w:rPr>
        <w:t xml:space="preserve">Direct Access Energy Credit </w:t>
        <w:tab/>
        <w:t xml:space="preserve">    </w:t>
        <w:tab/>
        <w:t xml:space="preserve"> -</w:t>
      </w:r>
      <w:r>
        <w:rPr>
          <w:sz w:val="20"/>
          <w:u w:val="single"/>
        </w:rPr>
        <w:t>75</w:t>
      </w:r>
      <w:r>
        <w:rPr>
          <w:sz w:val="20"/>
        </w:rPr>
        <w:tab/>
        <w:tab/>
        <w:tab/>
        <w:t xml:space="preserve">      - </w:t>
      </w:r>
      <w:r>
        <w:rPr>
          <w:sz w:val="20"/>
          <w:u w:val="single"/>
        </w:rPr>
        <w:t>45</w:t>
      </w:r>
    </w:p>
    <w:p>
      <w:pPr>
        <w:pStyle w:val="Normal"/>
        <w:rPr>
          <w:sz w:val="20"/>
        </w:rPr>
      </w:pPr>
      <w:r>
        <w:rPr>
          <w:sz w:val="20"/>
        </w:rPr>
        <w:tab/>
        <w:tab/>
        <w:tab/>
        <w:tab/>
        <w:tab/>
        <w:tab/>
        <w:tab/>
      </w:r>
    </w:p>
    <w:p>
      <w:pPr>
        <w:pStyle w:val="Normal"/>
        <w:rPr>
          <w:sz w:val="20"/>
        </w:rPr>
      </w:pPr>
      <w:r>
        <w:rPr>
          <w:sz w:val="20"/>
        </w:rPr>
        <w:t xml:space="preserve">Net Utility Bill - Cost to Enron </w:t>
        <w:tab/>
        <w:tab/>
        <w:t xml:space="preserve">  25</w:t>
        <w:tab/>
        <w:tab/>
        <w:tab/>
        <w:t xml:space="preserve">        55</w:t>
      </w:r>
    </w:p>
    <w:p>
      <w:pPr>
        <w:pStyle w:val="Normal"/>
        <w:rPr>
          <w:sz w:val="20"/>
        </w:rPr>
      </w:pPr>
      <w:r>
        <w:rPr>
          <w:sz w:val="20"/>
        </w:rPr>
        <w:tab/>
        <w:tab/>
        <w:tab/>
        <w:tab/>
        <w:tab/>
        <w:tab/>
        <w:tab/>
        <w:tab/>
      </w:r>
    </w:p>
    <w:p>
      <w:pPr>
        <w:pStyle w:val="Normal"/>
        <w:rPr>
          <w:sz w:val="20"/>
        </w:rPr>
      </w:pPr>
      <w:r>
        <w:rPr>
          <w:sz w:val="20"/>
        </w:rPr>
        <w:t>Swap Settlement:</w:t>
        <w:tab/>
        <w:tab/>
        <w:tab/>
        <w:tab/>
        <w:tab/>
        <w:tab/>
        <w:tab/>
      </w:r>
    </w:p>
    <w:p>
      <w:pPr>
        <w:pStyle w:val="Normal"/>
        <w:rPr>
          <w:sz w:val="20"/>
        </w:rPr>
      </w:pPr>
      <w:r>
        <w:rPr>
          <w:sz w:val="20"/>
        </w:rPr>
        <w:t xml:space="preserve">  </w:t>
      </w:r>
      <w:r>
        <w:rPr>
          <w:sz w:val="20"/>
        </w:rPr>
        <w:t xml:space="preserve">Embedded Generation </w:t>
        <w:tab/>
        <w:tab/>
        <w:tab/>
        <w:t xml:space="preserve">  54</w:t>
        <w:tab/>
        <w:tab/>
        <w:tab/>
        <w:t xml:space="preserve">        54</w:t>
      </w:r>
    </w:p>
    <w:p>
      <w:pPr>
        <w:pStyle w:val="Normal"/>
        <w:rPr/>
      </w:pPr>
      <w:r>
        <w:rPr>
          <w:sz w:val="20"/>
        </w:rPr>
        <w:t xml:space="preserve">  </w:t>
      </w:r>
      <w:r>
        <w:rPr>
          <w:sz w:val="20"/>
        </w:rPr>
        <w:t xml:space="preserve">Direct Access Energy Credit </w:t>
        <w:tab/>
        <w:t xml:space="preserve"> </w:t>
        <w:tab/>
        <w:t xml:space="preserve"> -</w:t>
      </w:r>
      <w:r>
        <w:rPr>
          <w:sz w:val="20"/>
          <w:u w:val="single"/>
        </w:rPr>
        <w:t>75</w:t>
      </w:r>
      <w:r>
        <w:rPr>
          <w:sz w:val="20"/>
        </w:rPr>
        <w:tab/>
        <w:tab/>
        <w:tab/>
        <w:t xml:space="preserve">       -</w:t>
      </w:r>
      <w:r>
        <w:rPr>
          <w:sz w:val="20"/>
          <w:u w:val="single"/>
        </w:rPr>
        <w:t>45</w:t>
      </w:r>
    </w:p>
    <w:p>
      <w:pPr>
        <w:pStyle w:val="Normal"/>
        <w:rPr>
          <w:sz w:val="20"/>
        </w:rPr>
      </w:pPr>
      <w:r>
        <w:rPr>
          <w:sz w:val="20"/>
        </w:rPr>
        <w:tab/>
        <w:tab/>
        <w:tab/>
        <w:tab/>
        <w:tab/>
        <w:tab/>
        <w:tab/>
      </w:r>
    </w:p>
    <w:p>
      <w:pPr>
        <w:pStyle w:val="Normal"/>
        <w:rPr>
          <w:sz w:val="20"/>
        </w:rPr>
      </w:pPr>
      <w:r>
        <w:rPr>
          <w:sz w:val="20"/>
        </w:rPr>
        <w:t>Swap Settlement (Due to Enron)</w:t>
        <w:tab/>
        <w:tab/>
        <w:t xml:space="preserve">  21</w:t>
        <w:tab/>
        <w:tab/>
        <w:tab/>
        <w:t xml:space="preserve">        -9</w:t>
      </w:r>
    </w:p>
    <w:p>
      <w:pPr>
        <w:pStyle w:val="Normal"/>
        <w:rPr>
          <w:sz w:val="20"/>
        </w:rPr>
      </w:pPr>
      <w:r>
        <w:rPr>
          <w:sz w:val="20"/>
        </w:rPr>
        <w:tab/>
        <w:tab/>
        <w:tab/>
        <w:tab/>
        <w:tab/>
        <w:tab/>
        <w:tab/>
      </w:r>
    </w:p>
    <w:p>
      <w:pPr>
        <w:pStyle w:val="Normal"/>
        <w:rPr>
          <w:sz w:val="20"/>
        </w:rPr>
      </w:pPr>
      <w:r>
        <w:rPr>
          <w:sz w:val="20"/>
        </w:rPr>
        <w:t xml:space="preserve">Net Cost to Enron </w:t>
        <w:tab/>
        <w:tab/>
        <w:tab/>
        <w:t xml:space="preserve">  46</w:t>
        <w:tab/>
        <w:tab/>
        <w:tab/>
        <w:t xml:space="preserve">        46</w:t>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2001-10-29T21:06:00Z</dcterms:created>
  <dc:creator>wcurry</dc:creator>
  <dc:description/>
  <dc:language>en-CA</dc:language>
  <cp:lastModifiedBy>wcurry</cp:lastModifiedBy>
  <dcterms:modified xsi:type="dcterms:W3CDTF">2001-10-29T22:12:00Z</dcterms:modified>
  <cp:revision>8</cp:revision>
  <dc:subject/>
  <dc:title>Term Sheet</dc:title>
</cp:coreProperties>
</file>