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December 19, 2000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By letter to Enron dated October 24, 2000 and again by electronic mail on November 8, 2000, PG&amp;E requested that Enron provide PG&amp;E with certain information as a condition to releasing to Enron payment for the accumulated negative CTC charges that have been billed by PG&amp;E to Enron’s direct access customers beginning in June of 2000. This matter involves 2 Enron entities, Enron Energy Services and Enron Energy Marketing Corp.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 xml:space="preserve">Through subsequent conversations and electronic correspondence between PG&amp;E representatives and Enron representatives, including on several occasions communications between our legal representatives and Peter Ouberg from your office, Enron informed PG&amp;E that the conditions being placed on the release of such funds were in violation of PG&amp;E’s direct access tariff. 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 xml:space="preserve">As result of those conversations, Enron made certain requested assurances to PG&amp;E by letter dated December 4, 2000.  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We were informed by Mr. Ouberg at that time that the assurances made in that letter were sufficient to cause PG&amp;E to begin processing payment of all amounts due to Enron.</w:t>
      </w:r>
    </w:p>
    <w:p>
      <w:pPr>
        <w:pStyle w:val="BodyText2"/>
        <w:numPr>
          <w:ilvl w:val="0"/>
          <w:numId w:val="2"/>
        </w:numPr>
        <w:jc w:val="both"/>
        <w:rPr/>
      </w:pPr>
      <w:r>
        <w:rPr/>
        <w:t xml:space="preserve">On December 14, Diann Huddleson and Evan Hughes of Enron met in San Francisco with several PG&amp;E employees, including Calvin Yee (ESP Account Manager), Mike Alexander (PG&amp;E Manager, ESP Services), Laura Miller (PG&amp;E Accounting) and Russell Jorgensen (Director, Customer Revenue Transactions) to  verify the amounts of the credit balances through November 30.  During those discussions, it was expressed to Enron that PG&amp;E was completing the analysis necessary to finalize the credit amounts owed by PG&amp;E to Enron and that PG&amp;E would make payment thereof in 3 traunches, with the first payment being wired to Enron on December 15 and the final payment being wired on December 20. </w:t>
      </w:r>
    </w:p>
    <w:p>
      <w:pPr>
        <w:pStyle w:val="Normal"/>
        <w:numPr>
          <w:ilvl w:val="0"/>
          <w:numId w:val="2"/>
        </w:numPr>
        <w:spacing w:lineRule="atLeast" w:line="240"/>
        <w:jc w:val="both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PG&amp;E subsequently provided Enron with progress status reports both verbally and in writing. PG&amp;E has also provided the analysis on a CD. 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 xml:space="preserve">Subsequent to that time to our initial conversations with Mr. Ouberg, he has informed Enron that such payments were, in fact, being processed at his direction.  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Enron was informed on December 15 that the payment due that day was delayed due to a technical problem, but it would be made on December 18 along with the second payment.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 xml:space="preserve">As recently as yesterday morning, we were told that the transfers of all the funds owed to Enron would be completed by the end of the day tomorrow.  </w:t>
      </w:r>
    </w:p>
    <w:p>
      <w:pPr>
        <w:pStyle w:val="BodyText"/>
        <w:numPr>
          <w:ilvl w:val="0"/>
          <w:numId w:val="2"/>
        </w:numPr>
        <w:jc w:val="both"/>
        <w:rPr/>
      </w:pPr>
      <w:r>
        <w:rPr/>
        <w:t>We learned late yesterday that PG&amp;E has suddenly put the processing of those payments on hold with no indication of when Enron can expect to receive those payments.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pacing w:lineRule="atLeast" w:line="240"/>
    </w:pPr>
    <w:rPr>
      <w:color w:val="000000"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2000-12-19T19:16:00Z</dcterms:created>
  <dc:creator>msmith2</dc:creator>
  <dc:description/>
  <dc:language>en-CA</dc:language>
  <cp:lastModifiedBy>msmith2</cp:lastModifiedBy>
  <dcterms:modified xsi:type="dcterms:W3CDTF">2000-12-19T19:38:00Z</dcterms:modified>
  <cp:revision>2</cp:revision>
  <dc:subject/>
  <dc:title> By letter to Enron dated October 24, 2000 and again by electronic mail on November 8, 2000, PG&amp;E requested that Enron provide PG&amp;E with certain information as a condition to releasing to Enron payment for the accumulated negative CTC charges that have </dc:title>
</cp:coreProperties>
</file>