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File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Peter Keohane &amp; Elizabeth Sager</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Powell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PG&amp;E Transactions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December 15, 2000</w:t>
            </w:r>
          </w:p>
          <w:p>
            <w:pPr>
              <w:pStyle w:val="Date"/>
              <w:rPr/>
            </w:pPr>
            <w:r>
              <w:rPr/>
            </w:r>
          </w:p>
        </w:tc>
      </w:tr>
      <w:tr>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spacing w:before="120" w:after="120"/>
        <w:ind w:start="90" w:end="0"/>
        <w:jc w:val="both"/>
        <w:rPr/>
      </w:pPr>
      <w:r>
        <w:rPr/>
      </w:r>
      <w:bookmarkStart w:id="1" w:name="StartOfMemo"/>
      <w:bookmarkStart w:id="2" w:name="StartOfMemo"/>
      <w:bookmarkEnd w:id="2"/>
    </w:p>
    <w:p>
      <w:pPr>
        <w:pStyle w:val="Body"/>
        <w:spacing w:before="120" w:after="120"/>
        <w:ind w:start="90" w:end="0"/>
        <w:jc w:val="both"/>
        <w:rPr/>
      </w:pPr>
      <w:r>
        <w:rPr/>
        <w:t>Below is a brief summary of the contracts relating to Enron Canada Corp. ("ECC") and various "PG&amp;E" entities.  The summary focuses on set-off, netting and assignability provisions.  Please note that there may be tax and regulatory issues to consider prior to assigning these contracts (in the event that assignment is permitted).</w:t>
      </w:r>
    </w:p>
    <w:p>
      <w:pPr>
        <w:pStyle w:val="Body"/>
        <w:spacing w:before="120" w:after="120"/>
        <w:ind w:start="90" w:end="0"/>
        <w:jc w:val="both"/>
        <w:rPr/>
      </w:pPr>
      <w:r>
        <w:rPr/>
      </w:r>
    </w:p>
    <w:p>
      <w:pPr>
        <w:pStyle w:val="Body"/>
        <w:numPr>
          <w:ilvl w:val="0"/>
          <w:numId w:val="2"/>
        </w:numPr>
        <w:spacing w:before="120" w:after="120"/>
        <w:jc w:val="both"/>
        <w:rPr/>
      </w:pPr>
      <w:r>
        <w:rPr/>
        <w:t>PG&amp;E Trading-Gas Corporation</w:t>
      </w:r>
    </w:p>
    <w:p>
      <w:pPr>
        <w:pStyle w:val="Body"/>
        <w:numPr>
          <w:ilvl w:val="0"/>
          <w:numId w:val="4"/>
        </w:numPr>
        <w:spacing w:before="120" w:after="120"/>
        <w:jc w:val="both"/>
        <w:rPr/>
      </w:pPr>
      <w:r>
        <w:rPr/>
        <w:t>Copy attached numbered 1.</w:t>
      </w:r>
    </w:p>
    <w:p>
      <w:pPr>
        <w:pStyle w:val="Body"/>
        <w:numPr>
          <w:ilvl w:val="0"/>
          <w:numId w:val="4"/>
        </w:numPr>
        <w:spacing w:before="120" w:after="120"/>
        <w:jc w:val="both"/>
        <w:rPr/>
      </w:pPr>
      <w:r>
        <w:rPr/>
        <w:t>File:  PG&amp;ET-01</w:t>
      </w:r>
    </w:p>
    <w:p>
      <w:pPr>
        <w:pStyle w:val="Body"/>
        <w:numPr>
          <w:ilvl w:val="0"/>
          <w:numId w:val="4"/>
        </w:numPr>
        <w:spacing w:before="120" w:after="120"/>
        <w:jc w:val="both"/>
        <w:rPr/>
      </w:pPr>
      <w:r>
        <w:rPr/>
        <w:t>Master Firm Gas dated April 17, 1997 and amended February 19, 1999.</w:t>
      </w:r>
    </w:p>
    <w:p>
      <w:pPr>
        <w:pStyle w:val="Body"/>
        <w:numPr>
          <w:ilvl w:val="0"/>
          <w:numId w:val="4"/>
        </w:numPr>
        <w:spacing w:before="120" w:after="120"/>
        <w:jc w:val="both"/>
        <w:rPr/>
      </w:pPr>
      <w:r>
        <w:rPr/>
        <w:t xml:space="preserve">Expressed right of set-off appears to be restricted to transactions under this agreement </w:t>
      </w:r>
      <w:r>
        <w:rPr>
          <w:u w:val="single"/>
        </w:rPr>
        <w:t>and any other physical gas sale agreement</w:t>
      </w:r>
      <w:r>
        <w:rPr/>
        <w:t xml:space="preserve"> </w:t>
      </w:r>
      <w:r>
        <w:rPr>
          <w:b/>
        </w:rPr>
        <w:t>between the specific parties against each other</w:t>
      </w:r>
      <w:r>
        <w:rPr/>
        <w:t>.  Section 10.5 states:</w:t>
      </w:r>
    </w:p>
    <w:p>
      <w:pPr>
        <w:pStyle w:val="Body"/>
        <w:spacing w:before="120" w:after="120"/>
        <w:ind w:start="1440" w:end="0"/>
        <w:jc w:val="both"/>
        <w:rPr/>
      </w:pPr>
      <w:r>
        <w:rPr/>
        <w:t>Each Party reserves to itself, to the extent not herein expressly waived or denied, all rights, set-offs, counterclaims and other remedies and defenses consistent with Section 17.1 which such Party is or may be entitled to arising form or out of this Agreement.  The obligations to make payments in connection with this Agreement and any other physical gas sale agreement between the Parties hereto may be offset against each other.</w:t>
      </w:r>
    </w:p>
    <w:p>
      <w:pPr>
        <w:pStyle w:val="Body"/>
        <w:spacing w:before="120" w:after="120"/>
        <w:jc w:val="both"/>
        <w:rPr/>
      </w:pPr>
      <w:r>
        <w:rPr/>
        <w:t>-</w:t>
        <w:tab/>
        <w:t>the agreement is silent as to netting of payments.</w:t>
      </w:r>
    </w:p>
    <w:p>
      <w:pPr>
        <w:pStyle w:val="Body"/>
        <w:numPr>
          <w:ilvl w:val="0"/>
          <w:numId w:val="4"/>
        </w:numPr>
        <w:spacing w:before="120" w:after="120"/>
        <w:jc w:val="both"/>
        <w:rPr/>
      </w:pPr>
      <w:r>
        <w:rPr/>
        <w:t>under s.13.1, either party can assign its interest under the agreement to any of its "Affiliates" without the prior written approval of the other Party but no such assignment is to operate to relieve the assigning party of its obligations under the agreement.</w:t>
      </w:r>
    </w:p>
    <w:p>
      <w:pPr>
        <w:pStyle w:val="Body"/>
        <w:numPr>
          <w:ilvl w:val="0"/>
          <w:numId w:val="4"/>
        </w:numPr>
        <w:spacing w:before="120" w:after="120"/>
        <w:jc w:val="both"/>
        <w:rPr/>
      </w:pPr>
      <w:r>
        <w:rPr>
          <w:rFonts w:eastAsia="Arial"/>
        </w:rPr>
        <w:t xml:space="preserve"> </w:t>
      </w:r>
      <w:r>
        <w:rPr/>
        <w:t>"Affiliates" is broadly defined in s.1.1 of the agreement.</w:t>
      </w:r>
    </w:p>
    <w:p>
      <w:pPr>
        <w:pStyle w:val="Body"/>
        <w:numPr>
          <w:ilvl w:val="0"/>
          <w:numId w:val="5"/>
        </w:numPr>
        <w:spacing w:before="120" w:after="120"/>
        <w:jc w:val="both"/>
        <w:rPr/>
      </w:pPr>
      <w:r>
        <w:rPr/>
        <w:t>Note, a master amendment was sent out on June 16, 2000 which has broader language for set-off as part of the "Master Amendment Project" but the document has not been returned yet.</w:t>
      </w:r>
    </w:p>
    <w:p>
      <w:pPr>
        <w:pStyle w:val="Body"/>
        <w:spacing w:before="120" w:after="120"/>
        <w:ind w:start="90" w:end="0"/>
        <w:jc w:val="both"/>
        <w:rPr/>
      </w:pPr>
      <w:r>
        <w:rPr/>
      </w:r>
    </w:p>
    <w:p>
      <w:pPr>
        <w:pStyle w:val="Body"/>
        <w:numPr>
          <w:ilvl w:val="0"/>
          <w:numId w:val="2"/>
        </w:numPr>
        <w:spacing w:before="120" w:after="120"/>
        <w:jc w:val="both"/>
        <w:rPr/>
      </w:pPr>
      <w:r>
        <w:rPr/>
        <w:t>PG&amp;E Energy Trading – Canada Corporation</w:t>
      </w:r>
    </w:p>
    <w:p>
      <w:pPr>
        <w:pStyle w:val="Body"/>
        <w:numPr>
          <w:ilvl w:val="0"/>
          <w:numId w:val="4"/>
        </w:numPr>
        <w:spacing w:before="120" w:after="120"/>
        <w:jc w:val="both"/>
        <w:rPr/>
      </w:pPr>
      <w:r>
        <w:rPr/>
        <w:t>Copy attached numbered 2.</w:t>
      </w:r>
    </w:p>
    <w:p>
      <w:pPr>
        <w:pStyle w:val="Body"/>
        <w:numPr>
          <w:ilvl w:val="0"/>
          <w:numId w:val="4"/>
        </w:numPr>
        <w:spacing w:before="120" w:after="120"/>
        <w:jc w:val="both"/>
        <w:rPr/>
      </w:pPr>
      <w:r>
        <w:rPr/>
        <w:t>File:  PG&amp;ETC-01</w:t>
      </w:r>
    </w:p>
    <w:p>
      <w:pPr>
        <w:pStyle w:val="Body"/>
        <w:numPr>
          <w:ilvl w:val="0"/>
          <w:numId w:val="4"/>
        </w:numPr>
        <w:spacing w:before="120" w:after="120"/>
        <w:jc w:val="both"/>
        <w:rPr/>
      </w:pPr>
      <w:r>
        <w:rPr/>
        <w:t>Master Firm Gas dated March 11, 1997 and amended February 23, 1999.</w:t>
      </w:r>
    </w:p>
    <w:p>
      <w:pPr>
        <w:pStyle w:val="Body"/>
        <w:numPr>
          <w:ilvl w:val="0"/>
          <w:numId w:val="4"/>
        </w:numPr>
        <w:spacing w:before="120" w:after="120"/>
        <w:jc w:val="both"/>
        <w:rPr/>
      </w:pPr>
      <w:r>
        <w:rPr/>
        <w:t xml:space="preserve">Expressed right of set-off appears to be restricted to transactions under this agreement </w:t>
      </w:r>
      <w:r>
        <w:rPr>
          <w:u w:val="single"/>
        </w:rPr>
        <w:t>and any other physical gas sale agreement</w:t>
      </w:r>
      <w:r>
        <w:rPr/>
        <w:t xml:space="preserve"> </w:t>
      </w:r>
      <w:r>
        <w:rPr>
          <w:b/>
        </w:rPr>
        <w:t>between the specific</w:t>
      </w:r>
      <w:r>
        <w:rPr/>
        <w:t xml:space="preserve"> </w:t>
      </w:r>
      <w:r>
        <w:rPr>
          <w:b/>
        </w:rPr>
        <w:t>parties against each other</w:t>
      </w:r>
      <w:r>
        <w:rPr/>
        <w:t>.  Section 10.5 states:</w:t>
      </w:r>
    </w:p>
    <w:p>
      <w:pPr>
        <w:pStyle w:val="Body"/>
        <w:spacing w:before="120" w:after="120"/>
        <w:ind w:start="1440" w:end="0"/>
        <w:jc w:val="both"/>
        <w:rPr/>
      </w:pPr>
      <w:r>
        <w:rPr/>
        <w:t>Each Party reserves to itself, to the extent not herein expressly waived or denied, all rights, set-offs, counterclaims and other remedies and defenses consistent with Section 17.1 which such Party is or may be entitled to arising form or out of this Agreement.  The obligations to make payments in connection with this Agreement and any other physical gas sale agreement between the Parties hereto may be offset against each other.</w:t>
      </w:r>
    </w:p>
    <w:p>
      <w:pPr>
        <w:pStyle w:val="Body"/>
        <w:spacing w:before="120" w:after="120"/>
        <w:jc w:val="both"/>
        <w:rPr/>
      </w:pPr>
      <w:r>
        <w:rPr/>
        <w:t>-</w:t>
        <w:tab/>
        <w:t>the agreement is silent as to netting of payments.</w:t>
      </w:r>
    </w:p>
    <w:p>
      <w:pPr>
        <w:pStyle w:val="Body"/>
        <w:numPr>
          <w:ilvl w:val="0"/>
          <w:numId w:val="4"/>
        </w:numPr>
        <w:spacing w:before="120" w:after="120"/>
        <w:jc w:val="both"/>
        <w:rPr/>
      </w:pPr>
      <w:r>
        <w:rPr/>
        <w:t>under s.13.1, either party can assign its interest under the agreement to any of its "Affiliates" without the prior written approval of the other Party but no such assignment is to operate to relieve the assigning party of its obligations under the agreement.</w:t>
      </w:r>
    </w:p>
    <w:p>
      <w:pPr>
        <w:pStyle w:val="Body"/>
        <w:numPr>
          <w:ilvl w:val="0"/>
          <w:numId w:val="4"/>
        </w:numPr>
        <w:spacing w:before="120" w:after="120"/>
        <w:jc w:val="both"/>
        <w:rPr/>
      </w:pPr>
      <w:r>
        <w:rPr>
          <w:rFonts w:eastAsia="Arial"/>
        </w:rPr>
        <w:t xml:space="preserve"> </w:t>
      </w:r>
      <w:r>
        <w:rPr/>
        <w:t>"Affiliates" is broadly defined in s.1.1 of the agreement.</w:t>
      </w:r>
    </w:p>
    <w:p>
      <w:pPr>
        <w:pStyle w:val="Body"/>
        <w:numPr>
          <w:ilvl w:val="0"/>
          <w:numId w:val="5"/>
        </w:numPr>
        <w:spacing w:before="120" w:after="120"/>
        <w:jc w:val="both"/>
        <w:rPr/>
      </w:pPr>
      <w:r>
        <w:rPr/>
        <w:t>Note, a master amendment was sent out on May 15, 2000 which has broader language for set-off as part of the "Master Amendment Project" but the document has not been returned yet.</w:t>
      </w:r>
    </w:p>
    <w:p>
      <w:pPr>
        <w:pStyle w:val="Body"/>
        <w:spacing w:before="120" w:after="120"/>
        <w:ind w:start="90" w:end="0"/>
        <w:jc w:val="both"/>
        <w:rPr/>
      </w:pPr>
      <w:r>
        <w:rPr/>
      </w:r>
    </w:p>
    <w:p>
      <w:pPr>
        <w:pStyle w:val="Body"/>
        <w:spacing w:before="120" w:after="120"/>
        <w:ind w:start="90" w:end="0"/>
        <w:jc w:val="both"/>
        <w:rPr/>
      </w:pPr>
      <w:r>
        <w:rPr/>
        <w:t>3.</w:t>
        <w:tab/>
        <w:t>Pacific Gas &amp; Electric Company</w:t>
      </w:r>
    </w:p>
    <w:p>
      <w:pPr>
        <w:pStyle w:val="Body"/>
        <w:numPr>
          <w:ilvl w:val="0"/>
          <w:numId w:val="4"/>
        </w:numPr>
        <w:spacing w:before="120" w:after="120"/>
        <w:jc w:val="both"/>
        <w:rPr/>
      </w:pPr>
      <w:r>
        <w:rPr/>
        <w:t>Copy of four different forms of GTC are attached numbered 3(a)-(d).</w:t>
      </w:r>
    </w:p>
    <w:p>
      <w:pPr>
        <w:pStyle w:val="Body"/>
        <w:numPr>
          <w:ilvl w:val="0"/>
          <w:numId w:val="4"/>
        </w:numPr>
        <w:spacing w:before="120" w:after="120"/>
        <w:jc w:val="both"/>
        <w:rPr/>
      </w:pPr>
      <w:r>
        <w:rPr/>
        <w:t>File:  PG&amp;E-10</w:t>
      </w:r>
    </w:p>
    <w:p>
      <w:pPr>
        <w:pStyle w:val="Body"/>
        <w:numPr>
          <w:ilvl w:val="0"/>
          <w:numId w:val="4"/>
        </w:numPr>
        <w:spacing w:before="120" w:after="120"/>
        <w:jc w:val="both"/>
        <w:rPr/>
      </w:pPr>
      <w:r>
        <w:rPr/>
        <w:t xml:space="preserve">GTC File – the terms of the GTCs have changed over the years.  </w:t>
      </w:r>
    </w:p>
    <w:p>
      <w:pPr>
        <w:pStyle w:val="Body"/>
        <w:numPr>
          <w:ilvl w:val="0"/>
          <w:numId w:val="4"/>
        </w:numPr>
        <w:spacing w:before="120" w:after="120"/>
        <w:jc w:val="both"/>
        <w:rPr/>
      </w:pPr>
      <w:r>
        <w:rPr/>
        <w:t>I have reviewed most of the GTCs for the last two months and spot checked the files back to February 11, 1997 and the GTCs have language which reserves all rights, set-offs, counterclaims and other remedies and defenses to which such party may be entitled arising from or out of this Confirmation Letter and the GTC.</w:t>
      </w:r>
    </w:p>
    <w:p>
      <w:pPr>
        <w:pStyle w:val="Body"/>
        <w:numPr>
          <w:ilvl w:val="0"/>
          <w:numId w:val="4"/>
        </w:numPr>
        <w:spacing w:before="120" w:after="120"/>
        <w:jc w:val="both"/>
        <w:rPr/>
      </w:pPr>
      <w:r>
        <w:rPr/>
        <w:t>the most recent GTCs (November) include a netting provision under s.10 which states:</w:t>
      </w:r>
    </w:p>
    <w:p>
      <w:pPr>
        <w:pStyle w:val="Body"/>
        <w:spacing w:before="120" w:after="120"/>
        <w:ind w:start="1350" w:end="0"/>
        <w:jc w:val="both"/>
        <w:rPr/>
      </w:pPr>
      <w:r>
        <w:rPr/>
        <w:t xml:space="preserve">"The obligations to make payments in connection with this transaction and </w:t>
      </w:r>
      <w:r>
        <w:rPr>
          <w:b/>
          <w:u w:val="single"/>
        </w:rPr>
        <w:t>any other agreements whatsoever between the parties hereto</w:t>
      </w:r>
      <w:r>
        <w:rPr/>
        <w:t xml:space="preserve"> shall be netted against each other.</w:t>
      </w:r>
    </w:p>
    <w:p>
      <w:pPr>
        <w:pStyle w:val="Body"/>
        <w:numPr>
          <w:ilvl w:val="0"/>
          <w:numId w:val="4"/>
        </w:numPr>
        <w:spacing w:before="120" w:after="120"/>
        <w:jc w:val="both"/>
        <w:rPr/>
      </w:pPr>
      <w:r>
        <w:rPr/>
        <w:t>However, the GTC's prior to November restrict the netting to "</w:t>
      </w:r>
      <w:r>
        <w:rPr>
          <w:b/>
          <w:u w:val="single"/>
        </w:rPr>
        <w:t>any other physical gas sale agreement between the parties</w:t>
      </w:r>
      <w:r>
        <w:rPr/>
        <w:t>."</w:t>
      </w:r>
    </w:p>
    <w:p>
      <w:pPr>
        <w:pStyle w:val="Body"/>
        <w:spacing w:before="120" w:after="120"/>
        <w:ind w:hanging="645" w:start="717" w:end="0"/>
        <w:jc w:val="both"/>
        <w:rPr/>
      </w:pPr>
      <w:r>
        <w:rPr/>
        <w:t>-</w:t>
        <w:tab/>
        <w:t>prior to February 11, 1998, the wording is slightly different regarding netting and prior to November 1997 there was no mention of netting.</w:t>
      </w:r>
    </w:p>
    <w:p>
      <w:pPr>
        <w:pStyle w:val="Body"/>
        <w:numPr>
          <w:ilvl w:val="0"/>
          <w:numId w:val="4"/>
        </w:numPr>
        <w:spacing w:before="120" w:after="120"/>
        <w:jc w:val="both"/>
        <w:rPr/>
      </w:pPr>
      <w:r>
        <w:rPr/>
        <w:t>I found no provisions relating to "assignment" in the GTCs.</w:t>
      </w:r>
    </w:p>
    <w:p>
      <w:pPr>
        <w:pStyle w:val="Body"/>
        <w:spacing w:before="120" w:after="120"/>
        <w:ind w:start="90" w:end="0"/>
        <w:jc w:val="both"/>
        <w:rPr/>
      </w:pPr>
      <w:r>
        <w:rPr/>
      </w:r>
    </w:p>
    <w:p>
      <w:pPr>
        <w:pStyle w:val="Body"/>
        <w:numPr>
          <w:ilvl w:val="0"/>
          <w:numId w:val="3"/>
        </w:numPr>
        <w:spacing w:before="120" w:after="120"/>
        <w:jc w:val="both"/>
        <w:rPr/>
      </w:pPr>
      <w:r>
        <w:rPr/>
        <w:t>Pacific Gas and Electric Company</w:t>
      </w:r>
    </w:p>
    <w:p>
      <w:pPr>
        <w:pStyle w:val="Body"/>
        <w:numPr>
          <w:ilvl w:val="0"/>
          <w:numId w:val="4"/>
        </w:numPr>
        <w:spacing w:before="120" w:after="120"/>
        <w:jc w:val="both"/>
        <w:rPr/>
      </w:pPr>
      <w:r>
        <w:rPr/>
        <w:t>Copy attached numbered 4.</w:t>
      </w:r>
    </w:p>
    <w:p>
      <w:pPr>
        <w:pStyle w:val="Body"/>
        <w:numPr>
          <w:ilvl w:val="0"/>
          <w:numId w:val="4"/>
        </w:numPr>
        <w:spacing w:before="120" w:after="120"/>
        <w:jc w:val="both"/>
        <w:rPr/>
      </w:pPr>
      <w:r>
        <w:rPr/>
        <w:t>File:  PG&amp;E-03</w:t>
      </w:r>
    </w:p>
    <w:p>
      <w:pPr>
        <w:pStyle w:val="Body"/>
        <w:numPr>
          <w:ilvl w:val="0"/>
          <w:numId w:val="4"/>
        </w:numPr>
        <w:spacing w:before="120" w:after="120"/>
        <w:jc w:val="both"/>
        <w:rPr/>
      </w:pPr>
      <w:r>
        <w:rPr/>
        <w:t>This is a Spot Gas Purchase and Sales Contract between Pacific Gas and Electric Company as buyer and Enron Gas Marketing Canada, Inc. as seller dated January 1, 1994.  It is filed as a "Less than 31 Day" agreement but appears to be on PG&amp;E paper.</w:t>
      </w:r>
    </w:p>
    <w:p>
      <w:pPr>
        <w:pStyle w:val="Body"/>
        <w:numPr>
          <w:ilvl w:val="0"/>
          <w:numId w:val="4"/>
        </w:numPr>
        <w:spacing w:before="120" w:after="120"/>
        <w:jc w:val="both"/>
        <w:rPr/>
      </w:pPr>
      <w:r>
        <w:rPr/>
        <w:t>it appears to have expired (s.11.1).  However, there are confirms for deals (internal only) from the Spring of 2000 in a purple folder?  These confirms are stamped "Internal Only"??</w:t>
      </w:r>
    </w:p>
    <w:p>
      <w:pPr>
        <w:pStyle w:val="Body"/>
        <w:numPr>
          <w:ilvl w:val="0"/>
          <w:numId w:val="4"/>
        </w:numPr>
        <w:spacing w:before="120" w:after="120"/>
        <w:jc w:val="both"/>
        <w:rPr/>
      </w:pPr>
      <w:r>
        <w:rPr/>
        <w:t>s.14.1 states that the contract is NOT assignable by either party.</w:t>
      </w:r>
    </w:p>
    <w:p>
      <w:pPr>
        <w:pStyle w:val="Body"/>
        <w:numPr>
          <w:ilvl w:val="0"/>
          <w:numId w:val="4"/>
        </w:numPr>
        <w:spacing w:before="120" w:after="120"/>
        <w:jc w:val="both"/>
        <w:rPr/>
      </w:pPr>
      <w:r>
        <w:rPr/>
        <w:t>the document appears to be silent as to set-off and netting.</w:t>
      </w:r>
    </w:p>
    <w:p>
      <w:pPr>
        <w:pStyle w:val="Body"/>
        <w:spacing w:before="120" w:after="120"/>
        <w:jc w:val="both"/>
        <w:rPr/>
      </w:pPr>
      <w:r>
        <w:rPr/>
      </w:r>
    </w:p>
    <w:p>
      <w:pPr>
        <w:pStyle w:val="Body"/>
        <w:numPr>
          <w:ilvl w:val="0"/>
          <w:numId w:val="3"/>
        </w:numPr>
        <w:spacing w:before="120" w:after="120"/>
        <w:jc w:val="both"/>
        <w:rPr/>
      </w:pPr>
      <w:r>
        <w:rPr/>
        <w:t>PG&amp;E Energy Trading, Canada Corporation</w:t>
      </w:r>
    </w:p>
    <w:p>
      <w:pPr>
        <w:pStyle w:val="Body"/>
        <w:numPr>
          <w:ilvl w:val="0"/>
          <w:numId w:val="4"/>
        </w:numPr>
        <w:spacing w:before="120" w:after="120"/>
        <w:jc w:val="both"/>
        <w:rPr/>
      </w:pPr>
      <w:r>
        <w:rPr/>
        <w:t>Copy attached numbered 5.</w:t>
      </w:r>
    </w:p>
    <w:p>
      <w:pPr>
        <w:pStyle w:val="Body"/>
        <w:numPr>
          <w:ilvl w:val="0"/>
          <w:numId w:val="4"/>
        </w:numPr>
        <w:spacing w:before="120" w:after="120"/>
        <w:jc w:val="both"/>
        <w:rPr/>
      </w:pPr>
      <w:r>
        <w:rPr/>
        <w:t>File PG&amp;E-01</w:t>
      </w:r>
    </w:p>
    <w:p>
      <w:pPr>
        <w:pStyle w:val="Body"/>
        <w:numPr>
          <w:ilvl w:val="0"/>
          <w:numId w:val="4"/>
        </w:numPr>
        <w:spacing w:before="120" w:after="120"/>
        <w:jc w:val="both"/>
        <w:rPr/>
      </w:pPr>
      <w:r>
        <w:rPr/>
        <w:t>ISDA Master Agreement dated January 15, 1999 – assume Mary Cook to review/determine.</w:t>
      </w:r>
    </w:p>
    <w:p>
      <w:pPr>
        <w:pStyle w:val="Body"/>
        <w:numPr>
          <w:ilvl w:val="0"/>
          <w:numId w:val="4"/>
        </w:numPr>
        <w:spacing w:before="120" w:after="120"/>
        <w:jc w:val="both"/>
        <w:rPr/>
      </w:pPr>
      <w:r>
        <w:rPr/>
        <w:t>I also understand that transactions may have been entered by Enron North America Corp. on behalf of ECC with PG&amp;E entities under ISDA agreements.  These transactions would be accounted for in the price transfer book.</w:t>
      </w:r>
    </w:p>
    <w:p>
      <w:pPr>
        <w:pStyle w:val="Body"/>
        <w:spacing w:before="120" w:after="120"/>
        <w:ind w:start="90" w:end="0"/>
        <w:jc w:val="both"/>
        <w:rPr/>
      </w:pPr>
      <w:r>
        <w:rPr/>
      </w:r>
    </w:p>
    <w:p>
      <w:pPr>
        <w:pStyle w:val="Body"/>
        <w:numPr>
          <w:ilvl w:val="0"/>
          <w:numId w:val="3"/>
        </w:numPr>
        <w:spacing w:before="120" w:after="120"/>
        <w:jc w:val="both"/>
        <w:rPr/>
      </w:pPr>
      <w:r>
        <w:rPr/>
        <w:t>Pacific Gas and Electric Company (on behalf of its Core Customers)</w:t>
      </w:r>
    </w:p>
    <w:p>
      <w:pPr>
        <w:pStyle w:val="Body"/>
        <w:numPr>
          <w:ilvl w:val="0"/>
          <w:numId w:val="4"/>
        </w:numPr>
        <w:spacing w:before="120" w:after="120"/>
        <w:jc w:val="both"/>
        <w:rPr/>
      </w:pPr>
      <w:r>
        <w:rPr/>
        <w:t>No copy attached.</w:t>
      </w:r>
    </w:p>
    <w:p>
      <w:pPr>
        <w:pStyle w:val="Body"/>
        <w:numPr>
          <w:ilvl w:val="0"/>
          <w:numId w:val="4"/>
        </w:numPr>
        <w:spacing w:before="120" w:after="120"/>
        <w:jc w:val="both"/>
        <w:rPr/>
      </w:pPr>
      <w:r>
        <w:rPr/>
        <w:t>File PG&amp;E-11</w:t>
      </w:r>
    </w:p>
    <w:p>
      <w:pPr>
        <w:pStyle w:val="Body"/>
        <w:numPr>
          <w:ilvl w:val="0"/>
          <w:numId w:val="4"/>
        </w:numPr>
        <w:spacing w:before="120" w:after="120"/>
        <w:jc w:val="both"/>
        <w:rPr/>
      </w:pPr>
      <w:r>
        <w:rPr/>
        <w:t xml:space="preserve">Master firm physical gas agreement which was </w:t>
      </w:r>
      <w:r>
        <w:rPr>
          <w:b/>
        </w:rPr>
        <w:t>not</w:t>
      </w:r>
      <w:r>
        <w:rPr/>
        <w:t xml:space="preserve"> executed by the parties (the form of contract has yet to be agreed upon by the parties).</w:t>
      </w:r>
    </w:p>
    <w:p>
      <w:pPr>
        <w:pStyle w:val="Body"/>
        <w:spacing w:before="120" w:after="120"/>
        <w:jc w:val="both"/>
        <w:rPr/>
      </w:pPr>
      <w:r>
        <w:rPr/>
      </w:r>
    </w:p>
    <w:p>
      <w:pPr>
        <w:pStyle w:val="Body"/>
        <w:numPr>
          <w:ilvl w:val="0"/>
          <w:numId w:val="3"/>
        </w:numPr>
        <w:spacing w:before="120" w:after="120"/>
        <w:jc w:val="both"/>
        <w:rPr/>
      </w:pPr>
      <w:r>
        <w:rPr/>
        <w:t>Pacific Gas and Electric Company (on behalf of its Core Customers)</w:t>
      </w:r>
    </w:p>
    <w:p>
      <w:pPr>
        <w:pStyle w:val="Body"/>
        <w:numPr>
          <w:ilvl w:val="0"/>
          <w:numId w:val="4"/>
        </w:numPr>
        <w:spacing w:before="120" w:after="120"/>
        <w:jc w:val="both"/>
        <w:rPr/>
      </w:pPr>
      <w:r>
        <w:rPr/>
        <w:t>No copy attached.</w:t>
      </w:r>
    </w:p>
    <w:p>
      <w:pPr>
        <w:pStyle w:val="Body"/>
        <w:numPr>
          <w:ilvl w:val="0"/>
          <w:numId w:val="4"/>
        </w:numPr>
        <w:spacing w:before="120" w:after="120"/>
        <w:jc w:val="both"/>
        <w:rPr/>
      </w:pPr>
      <w:r>
        <w:rPr/>
        <w:t>File:  Trans-82</w:t>
      </w:r>
    </w:p>
    <w:p>
      <w:pPr>
        <w:pStyle w:val="Body"/>
        <w:numPr>
          <w:ilvl w:val="0"/>
          <w:numId w:val="4"/>
        </w:numPr>
        <w:spacing w:before="120" w:after="120"/>
        <w:jc w:val="both"/>
        <w:rPr/>
      </w:pPr>
      <w:r>
        <w:rPr/>
        <w:t>According to a note on the file by Craig Johnstone, there are no current deals.  Further, we do not have a signed copy of this master agreement for transportation assignment and volumetric exchanges (it appears that it was not finalized by the parties).</w:t>
      </w:r>
    </w:p>
    <w:p>
      <w:pPr>
        <w:pStyle w:val="Body"/>
        <w:spacing w:before="120" w:after="120"/>
        <w:jc w:val="both"/>
        <w:rPr/>
      </w:pPr>
      <w:r>
        <w:rPr/>
      </w:r>
    </w:p>
    <w:p>
      <w:pPr>
        <w:pStyle w:val="Body"/>
        <w:numPr>
          <w:ilvl w:val="0"/>
          <w:numId w:val="3"/>
        </w:numPr>
        <w:spacing w:before="120" w:after="120"/>
        <w:jc w:val="both"/>
        <w:rPr/>
      </w:pPr>
      <w:r>
        <w:rPr/>
        <w:t>PG&amp;E Gas Transmission, Northwest Corporation</w:t>
      </w:r>
    </w:p>
    <w:p>
      <w:pPr>
        <w:pStyle w:val="Body"/>
        <w:numPr>
          <w:ilvl w:val="0"/>
          <w:numId w:val="4"/>
        </w:numPr>
        <w:spacing w:before="120" w:after="120"/>
        <w:jc w:val="both"/>
        <w:rPr/>
      </w:pPr>
      <w:r>
        <w:rPr/>
        <w:t>Copy attached numbered 8.</w:t>
      </w:r>
    </w:p>
    <w:p>
      <w:pPr>
        <w:pStyle w:val="Body"/>
        <w:numPr>
          <w:ilvl w:val="0"/>
          <w:numId w:val="4"/>
        </w:numPr>
        <w:spacing w:before="120" w:after="120"/>
        <w:jc w:val="both"/>
        <w:rPr/>
      </w:pPr>
      <w:r>
        <w:rPr/>
        <w:t>File:</w:t>
        <w:tab/>
        <w:t>Trans-121</w:t>
      </w:r>
    </w:p>
    <w:p>
      <w:pPr>
        <w:pStyle w:val="Body"/>
        <w:numPr>
          <w:ilvl w:val="0"/>
          <w:numId w:val="4"/>
        </w:numPr>
        <w:spacing w:before="120" w:after="120"/>
        <w:jc w:val="both"/>
        <w:rPr/>
      </w:pPr>
      <w:r>
        <w:rPr/>
        <w:t xml:space="preserve">This is a firm transportation agreement with </w:t>
      </w:r>
      <w:r>
        <w:rPr>
          <w:b/>
          <w:u w:val="single"/>
        </w:rPr>
        <w:t xml:space="preserve">Enron North America Corp. </w:t>
      </w:r>
      <w:r>
        <w:rPr/>
        <w:t>which is effective from November 1, 2008 to October 31, 2023 whereby Enron North America acquires transportation from Kingsgate, BC to Malin, Oregon.</w:t>
      </w:r>
    </w:p>
    <w:p>
      <w:pPr>
        <w:pStyle w:val="Body"/>
        <w:spacing w:before="120" w:after="120"/>
        <w:jc w:val="both"/>
        <w:rPr/>
      </w:pPr>
      <w:r>
        <w:rPr/>
      </w:r>
    </w:p>
    <w:p>
      <w:pPr>
        <w:pStyle w:val="Body"/>
        <w:numPr>
          <w:ilvl w:val="0"/>
          <w:numId w:val="3"/>
        </w:numPr>
        <w:spacing w:before="120" w:after="120"/>
        <w:jc w:val="both"/>
        <w:rPr/>
      </w:pPr>
      <w:r>
        <w:rPr/>
        <w:t>PG&amp;E Gas Transmission, Northwest Corporation</w:t>
      </w:r>
    </w:p>
    <w:p>
      <w:pPr>
        <w:pStyle w:val="Body"/>
        <w:numPr>
          <w:ilvl w:val="0"/>
          <w:numId w:val="4"/>
        </w:numPr>
        <w:spacing w:before="120" w:after="120"/>
        <w:jc w:val="both"/>
        <w:rPr/>
      </w:pPr>
      <w:r>
        <w:rPr/>
        <w:t>Copy attached numbered 9.</w:t>
      </w:r>
    </w:p>
    <w:p>
      <w:pPr>
        <w:pStyle w:val="Body"/>
        <w:numPr>
          <w:ilvl w:val="0"/>
          <w:numId w:val="4"/>
        </w:numPr>
        <w:spacing w:before="120" w:after="120"/>
        <w:jc w:val="both"/>
        <w:rPr/>
      </w:pPr>
      <w:r>
        <w:rPr/>
        <w:t>File:</w:t>
        <w:tab/>
        <w:t>Trans-92</w:t>
      </w:r>
    </w:p>
    <w:p>
      <w:pPr>
        <w:pStyle w:val="Body"/>
        <w:numPr>
          <w:ilvl w:val="0"/>
          <w:numId w:val="4"/>
        </w:numPr>
        <w:spacing w:before="120" w:after="120"/>
        <w:jc w:val="both"/>
        <w:rPr/>
      </w:pPr>
      <w:r>
        <w:rPr/>
        <w:t xml:space="preserve">This is a parking service agreement dated January 23, 1998 between PG&amp;E Gas Transmission, Northwest Corporation and </w:t>
      </w:r>
      <w:r>
        <w:rPr>
          <w:b/>
        </w:rPr>
        <w:t>Enron Gas Services Canada?</w:t>
      </w:r>
      <w:r>
        <w:rPr/>
        <w:t xml:space="preserve"> as executed electronically by Kevin Heal via "Pacific Trail ".</w:t>
      </w:r>
    </w:p>
    <w:p>
      <w:pPr>
        <w:pStyle w:val="Body"/>
        <w:numPr>
          <w:ilvl w:val="0"/>
          <w:numId w:val="4"/>
        </w:numPr>
        <w:spacing w:before="120" w:after="120"/>
        <w:jc w:val="both"/>
        <w:rPr/>
      </w:pPr>
      <w:r>
        <w:rPr/>
        <w:t>Enron Gas Services Canada acquired access to park a "MDQ" of 500,000 MMBtu of gas per day with PG&amp;E Gas Transmission, Northwest Corporation.</w:t>
      </w:r>
    </w:p>
    <w:p>
      <w:pPr>
        <w:pStyle w:val="Body"/>
        <w:numPr>
          <w:ilvl w:val="0"/>
          <w:numId w:val="4"/>
        </w:numPr>
        <w:spacing w:before="120" w:after="120"/>
        <w:jc w:val="both"/>
        <w:rPr/>
      </w:pPr>
      <w:r>
        <w:rPr/>
        <w:t>The agreement is silent as to set-off, netting and assignment.  However, the agreement is subject to Rate Schedule PS-1 (which has not been reviewed).</w:t>
      </w:r>
    </w:p>
    <w:p>
      <w:pPr>
        <w:pStyle w:val="Body"/>
        <w:numPr>
          <w:ilvl w:val="0"/>
          <w:numId w:val="4"/>
        </w:numPr>
        <w:spacing w:before="120" w:after="120"/>
        <w:jc w:val="both"/>
        <w:rPr/>
      </w:pPr>
      <w:r>
        <w:rPr/>
        <w:t>an attempt to amend the agreement to refer to Enron Capital &amp; Trade Resources Canada Corp. was attempted by Marylee Hopkins and Kevin Heal on May 12, 1998 but we have no fully executed copy of the amending agreement.</w:t>
      </w:r>
    </w:p>
    <w:p>
      <w:pPr>
        <w:pStyle w:val="Body"/>
        <w:spacing w:before="120" w:after="120"/>
        <w:jc w:val="both"/>
        <w:rPr/>
      </w:pPr>
      <w:r>
        <w:rPr/>
      </w:r>
    </w:p>
    <w:p>
      <w:pPr>
        <w:pStyle w:val="Body"/>
        <w:numPr>
          <w:ilvl w:val="0"/>
          <w:numId w:val="3"/>
        </w:numPr>
        <w:spacing w:before="120" w:after="120"/>
        <w:jc w:val="both"/>
        <w:rPr/>
      </w:pPr>
      <w:r>
        <w:rPr/>
        <w:t>PG&amp;E Gas Transmission, Northwest Corporation</w:t>
      </w:r>
    </w:p>
    <w:p>
      <w:pPr>
        <w:pStyle w:val="Body"/>
        <w:numPr>
          <w:ilvl w:val="0"/>
          <w:numId w:val="4"/>
        </w:numPr>
        <w:spacing w:before="120" w:after="120"/>
        <w:jc w:val="both"/>
        <w:rPr/>
      </w:pPr>
      <w:r>
        <w:rPr/>
        <w:t>Copy attached numbered 10.</w:t>
      </w:r>
    </w:p>
    <w:p>
      <w:pPr>
        <w:pStyle w:val="Body"/>
        <w:numPr>
          <w:ilvl w:val="0"/>
          <w:numId w:val="4"/>
        </w:numPr>
        <w:spacing w:before="120" w:after="120"/>
        <w:jc w:val="both"/>
        <w:rPr/>
      </w:pPr>
      <w:r>
        <w:rPr/>
        <w:t>File:</w:t>
        <w:tab/>
        <w:t>Trans-108</w:t>
      </w:r>
    </w:p>
    <w:p>
      <w:pPr>
        <w:pStyle w:val="Body"/>
        <w:numPr>
          <w:ilvl w:val="0"/>
          <w:numId w:val="4"/>
        </w:numPr>
        <w:spacing w:before="120" w:after="120"/>
        <w:jc w:val="both"/>
        <w:rPr/>
      </w:pPr>
      <w:r>
        <w:rPr/>
        <w:t>This is a "Market Center" request dated May 12, 1998 whereby Enron Canada Corp. requests access to use PG&amp;E Gas Transmission, Northwest Corporation's interconnection between their facilities and other pipeline and local distribution companies.  At the market centres entities may trade gas quantities without actively shipping the gas either upstream or downstream of the centre.</w:t>
      </w:r>
    </w:p>
    <w:p>
      <w:pPr>
        <w:pStyle w:val="Body"/>
        <w:numPr>
          <w:ilvl w:val="0"/>
          <w:numId w:val="4"/>
        </w:numPr>
        <w:spacing w:before="120" w:after="120"/>
        <w:jc w:val="both"/>
        <w:rPr/>
      </w:pPr>
      <w:r>
        <w:rPr/>
        <w:t xml:space="preserve">the one page document is silent as to set-off, netting and assignment. </w:t>
      </w:r>
    </w:p>
    <w:p>
      <w:pPr>
        <w:pStyle w:val="Body"/>
        <w:spacing w:before="120" w:after="120"/>
        <w:ind w:start="90" w:end="0"/>
        <w:jc w:val="both"/>
        <w:rPr/>
      </w:pPr>
      <w:r>
        <w:rPr/>
      </w:r>
    </w:p>
    <w:p>
      <w:pPr>
        <w:pStyle w:val="Body"/>
        <w:numPr>
          <w:ilvl w:val="0"/>
          <w:numId w:val="3"/>
        </w:numPr>
        <w:spacing w:before="120" w:after="120"/>
        <w:jc w:val="both"/>
        <w:rPr/>
      </w:pPr>
      <w:r>
        <w:rPr/>
        <w:t>PG&amp;E Gas Transmission, Northwest Corporation</w:t>
      </w:r>
    </w:p>
    <w:p>
      <w:pPr>
        <w:pStyle w:val="Body"/>
        <w:numPr>
          <w:ilvl w:val="0"/>
          <w:numId w:val="4"/>
        </w:numPr>
        <w:spacing w:before="120" w:after="120"/>
        <w:jc w:val="both"/>
        <w:rPr/>
      </w:pPr>
      <w:r>
        <w:rPr/>
        <w:t>Copy attached numbered 11.</w:t>
      </w:r>
    </w:p>
    <w:p>
      <w:pPr>
        <w:pStyle w:val="Body"/>
        <w:numPr>
          <w:ilvl w:val="0"/>
          <w:numId w:val="4"/>
        </w:numPr>
        <w:spacing w:before="120" w:after="120"/>
        <w:jc w:val="both"/>
        <w:rPr/>
      </w:pPr>
      <w:r>
        <w:rPr/>
        <w:t>File:</w:t>
        <w:tab/>
        <w:t>Operate-06</w:t>
      </w:r>
    </w:p>
    <w:p>
      <w:pPr>
        <w:pStyle w:val="Body"/>
        <w:numPr>
          <w:ilvl w:val="0"/>
          <w:numId w:val="4"/>
        </w:numPr>
        <w:spacing w:before="120" w:after="120"/>
        <w:jc w:val="both"/>
        <w:rPr/>
      </w:pPr>
      <w:r>
        <w:rPr/>
        <w:t>This is an "user agreement" dated November 1, 1999 whereby Enron Canada Corp. seeks use of PG&amp;E Gas Transmission, Northwest Corporation's Pacific Trail Electronic Bulletin Board Service.</w:t>
      </w:r>
    </w:p>
    <w:p>
      <w:pPr>
        <w:pStyle w:val="Body"/>
        <w:numPr>
          <w:ilvl w:val="0"/>
          <w:numId w:val="4"/>
        </w:numPr>
        <w:spacing w:before="120" w:after="120"/>
        <w:jc w:val="both"/>
        <w:rPr/>
      </w:pPr>
      <w:r>
        <w:rPr/>
        <w:t>the document is silent as to set-off, netting and assignment.</w:t>
      </w:r>
    </w:p>
    <w:p>
      <w:pPr>
        <w:pStyle w:val="Body"/>
        <w:numPr>
          <w:ilvl w:val="0"/>
          <w:numId w:val="4"/>
        </w:numPr>
        <w:spacing w:before="120" w:after="120"/>
        <w:jc w:val="both"/>
        <w:rPr/>
      </w:pPr>
      <w:r>
        <w:rPr/>
        <w:t>we do not have a copy which is signed by PG&amp;E Gas Transmission, Northwest Corporation.</w:t>
      </w:r>
    </w:p>
    <w:p>
      <w:pPr>
        <w:pStyle w:val="Body"/>
        <w:spacing w:before="120" w:after="120"/>
        <w:jc w:val="both"/>
        <w:rPr/>
      </w:pPr>
      <w:r>
        <w:rPr/>
      </w:r>
    </w:p>
    <w:p>
      <w:pPr>
        <w:pStyle w:val="Body"/>
        <w:numPr>
          <w:ilvl w:val="0"/>
          <w:numId w:val="3"/>
        </w:numPr>
        <w:spacing w:before="120" w:after="120"/>
        <w:jc w:val="both"/>
        <w:rPr/>
      </w:pPr>
      <w:r>
        <w:rPr/>
        <w:t>PG&amp;E Gas Transmission, Northwest Corporation</w:t>
      </w:r>
    </w:p>
    <w:p>
      <w:pPr>
        <w:pStyle w:val="Body"/>
        <w:numPr>
          <w:ilvl w:val="0"/>
          <w:numId w:val="4"/>
        </w:numPr>
        <w:spacing w:before="120" w:after="120"/>
        <w:jc w:val="both"/>
        <w:rPr/>
      </w:pPr>
      <w:r>
        <w:rPr/>
        <w:t>Copy attached numbered 12.</w:t>
      </w:r>
    </w:p>
    <w:p>
      <w:pPr>
        <w:pStyle w:val="Body"/>
        <w:numPr>
          <w:ilvl w:val="0"/>
          <w:numId w:val="4"/>
        </w:numPr>
        <w:spacing w:before="120" w:after="120"/>
        <w:jc w:val="both"/>
        <w:rPr/>
      </w:pPr>
      <w:r>
        <w:rPr/>
        <w:t>File:</w:t>
        <w:tab/>
        <w:t>Operate-59</w:t>
      </w:r>
    </w:p>
    <w:p>
      <w:pPr>
        <w:pStyle w:val="Body"/>
        <w:numPr>
          <w:ilvl w:val="0"/>
          <w:numId w:val="4"/>
        </w:numPr>
        <w:spacing w:before="120" w:after="120"/>
        <w:jc w:val="both"/>
        <w:rPr/>
      </w:pPr>
      <w:r>
        <w:rPr/>
        <w:t>This is an "user agreement" dated November 1, 1999 whereby Enron Canada Corp. seeks use of PG&amp;E Gas Transmission, Northwest Corporation's on-line services for conducting gas transportation and storage related business, including a number of specified services.</w:t>
      </w:r>
    </w:p>
    <w:p>
      <w:pPr>
        <w:pStyle w:val="Body"/>
        <w:numPr>
          <w:ilvl w:val="0"/>
          <w:numId w:val="4"/>
        </w:numPr>
        <w:spacing w:before="120" w:after="120"/>
        <w:jc w:val="both"/>
        <w:rPr/>
      </w:pPr>
      <w:r>
        <w:rPr/>
        <w:t>the agreement is silent as to netting and set-off.</w:t>
      </w:r>
    </w:p>
    <w:p>
      <w:pPr>
        <w:pStyle w:val="Body"/>
        <w:numPr>
          <w:ilvl w:val="0"/>
          <w:numId w:val="4"/>
        </w:numPr>
        <w:spacing w:before="120" w:after="120"/>
        <w:jc w:val="both"/>
        <w:rPr/>
      </w:pPr>
      <w:r>
        <w:rPr/>
        <w:t>this agreement cannot be assigned by the user without the prior consent of PG&amp;E Gas Transmission, Northwest Corporation.</w:t>
      </w:r>
    </w:p>
    <w:p>
      <w:pPr>
        <w:pStyle w:val="Body"/>
        <w:spacing w:before="120" w:after="120"/>
        <w:ind w:start="90" w:end="0"/>
        <w:jc w:val="both"/>
        <w:rPr/>
      </w:pPr>
      <w:r>
        <w:rPr/>
      </w:r>
    </w:p>
    <w:p>
      <w:pPr>
        <w:pStyle w:val="Body"/>
        <w:numPr>
          <w:ilvl w:val="0"/>
          <w:numId w:val="3"/>
        </w:numPr>
        <w:spacing w:before="120" w:after="120"/>
        <w:jc w:val="both"/>
        <w:rPr/>
      </w:pPr>
      <w:r>
        <w:rPr/>
        <w:t>PG&amp;E Energy Trading – Power, L.P.</w:t>
      </w:r>
    </w:p>
    <w:p>
      <w:pPr>
        <w:pStyle w:val="Body"/>
        <w:numPr>
          <w:ilvl w:val="0"/>
          <w:numId w:val="4"/>
        </w:numPr>
        <w:spacing w:before="120" w:after="120"/>
        <w:jc w:val="both"/>
        <w:rPr/>
      </w:pPr>
      <w:r>
        <w:rPr/>
        <w:t>Copies attached numbered 13 (a), (b), (c), (d).</w:t>
      </w:r>
    </w:p>
    <w:p>
      <w:pPr>
        <w:pStyle w:val="Body"/>
        <w:numPr>
          <w:ilvl w:val="0"/>
          <w:numId w:val="4"/>
        </w:numPr>
        <w:spacing w:before="120" w:after="120"/>
        <w:jc w:val="both"/>
        <w:rPr/>
      </w:pPr>
      <w:r>
        <w:rPr/>
        <w:t>These are four financial swaps relating to power under general terms and conditions running dated November 2, 2000, November 2, 2000, November 16, 2000 and November 29, 2000.  Although we have executed the confirms and forwarded them to the counterparty, we have yet to receive executed copies back from PG&amp;E Energy Trading – Power, L.P.</w:t>
      </w:r>
    </w:p>
    <w:p>
      <w:pPr>
        <w:pStyle w:val="Body"/>
        <w:numPr>
          <w:ilvl w:val="0"/>
          <w:numId w:val="4"/>
        </w:numPr>
        <w:spacing w:before="120" w:after="120"/>
        <w:jc w:val="both"/>
        <w:rPr/>
      </w:pPr>
      <w:r>
        <w:rPr/>
        <w:t>Section 5 of the GTC uses fairly broad set-off language which is triggered upon an "Early Termination Date".  It states,</w:t>
      </w:r>
    </w:p>
    <w:p>
      <w:pPr>
        <w:pStyle w:val="Body"/>
        <w:spacing w:before="120" w:after="120"/>
        <w:ind w:start="1440" w:end="0"/>
        <w:jc w:val="both"/>
        <w:rPr/>
      </w:pPr>
      <w:r>
        <w:rPr/>
        <w:t>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Body"/>
        <w:numPr>
          <w:ilvl w:val="0"/>
          <w:numId w:val="4"/>
        </w:numPr>
        <w:spacing w:before="120" w:after="120"/>
        <w:jc w:val="both"/>
        <w:rPr/>
      </w:pPr>
      <w:r>
        <w:rPr/>
        <w:t>Under section 6 there is no right to assign the rights or obligations described by the Confirmation Letter to an affiliate which is not in the same tax jurisdiction as the proposed assigning party.  The relevant clause states,</w:t>
      </w:r>
    </w:p>
    <w:p>
      <w:pPr>
        <w:pStyle w:val="Body"/>
        <w:spacing w:before="120" w:after="120"/>
        <w:ind w:start="1440" w:end="0"/>
        <w:jc w:val="both"/>
        <w:rPr/>
      </w:pPr>
      <w:r>
        <w:rPr/>
        <w:t xml:space="preserve">. .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 . . . </w:t>
      </w:r>
    </w:p>
    <w:p>
      <w:pPr>
        <w:pStyle w:val="Body"/>
        <w:spacing w:before="120" w:after="12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/mnt/main-storage/datasets/enron-docs/doc/PG_E_Summary.doc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/mnt/main-storage/datasets/enron-docs/doc/PG_E_Summary.doc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6</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630"/>
      </w:pPr>
      <w:rPr/>
    </w:lvl>
  </w:abstractNum>
  <w:abstractNum w:abstractNumId="3">
    <w:lvl w:ilvl="0">
      <w:start w:val="4"/>
      <w:numFmt w:val="decimal"/>
      <w:lvlText w:val="%1."/>
      <w:lvlJc w:val="start"/>
      <w:pPr>
        <w:tabs>
          <w:tab w:val="num" w:pos="720"/>
        </w:tabs>
        <w:ind w:start="720" w:hanging="630"/>
      </w:pPr>
      <w:rPr/>
    </w:lvl>
  </w:abstractNum>
  <w:abstractNum w:abstractNumId="4">
    <w:lvl w:ilvl="0">
      <w:start w:val="1"/>
      <w:numFmt w:val="bullet"/>
      <w:lvlText w:val="-"/>
      <w:lvlJc w:val="start"/>
      <w:pPr>
        <w:tabs>
          <w:tab w:val="num" w:pos="720"/>
        </w:tabs>
        <w:ind w:start="720" w:hanging="630"/>
      </w:pPr>
      <w:rPr>
        <w:rFonts w:ascii="Times New Roman" w:hAnsi="Times New Roman" w:cs="Times New Roman" w:hint="default"/>
      </w:rPr>
    </w:lvl>
  </w:abstractNum>
  <w:abstractNum w:abstractNumId="5">
    <w:lvl w:ilvl="0">
      <w:start w:val="2"/>
      <w:numFmt w:val="bullet"/>
      <w:lvlText w:val=""/>
      <w:lvlJc w:val="start"/>
      <w:pPr>
        <w:tabs>
          <w:tab w:val="num" w:pos="720"/>
        </w:tabs>
        <w:ind w:start="720" w:hanging="63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rPr>
  </w:style>
  <w:style w:type="character" w:styleId="WW8Num18z0">
    <w:name w:val="WW8Num18z0"/>
    <w:qFormat/>
    <w:rPr/>
  </w:style>
  <w:style w:type="character" w:styleId="WW8Num19z0">
    <w:name w:val="WW8Num19z0"/>
    <w:qFormat/>
    <w:rPr>
      <w:rFonts w:ascii="Times New Roman" w:hAnsi="Times New Roman" w:cs="Times New Roman"/>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2000-12-15T21:51:00Z</dcterms:created>
  <dc:creator>ncappel</dc:creator>
  <dc:description/>
  <dc:language>en-CA</dc:language>
  <cp:lastModifiedBy>Mark Powell</cp:lastModifiedBy>
  <cp:lastPrinted>2000-12-15T16:59:00Z</cp:lastPrinted>
  <dcterms:modified xsi:type="dcterms:W3CDTF">2000-12-15T21:51:00Z</dcterms:modified>
  <cp:revision>2</cp:revision>
  <dc:subject/>
  <dc:title>Eron Capital &amp; Trade Resources Memo</dc:title>
</cp:coreProperties>
</file>