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entury Schoolbook"/>
        </w:rPr>
        <w:t xml:space="preserve">               </w:t>
      </w:r>
      <w:r>
        <w:rPr/>
        <w:t>SECURITIES AND EXCHANGE COMMISSION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entury Schoolbook"/>
        </w:rPr>
        <w:t xml:space="preserve">                     </w:t>
      </w:r>
      <w:r>
        <w:rPr/>
        <w:t>Washington, D.C.  20549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entury Schoolbook"/>
        </w:rPr>
        <w:t xml:space="preserve">                            </w:t>
      </w:r>
      <w:r>
        <w:rPr/>
        <w:t>FORM 8-K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entury Schoolbook"/>
        </w:rPr>
        <w:t xml:space="preserve">                         </w:t>
      </w:r>
      <w:r>
        <w:rPr/>
        <w:t>CURRENT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Pursuant to Section 13 or 15(d) of the Securities Exchange Act of 1934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entury Schoolbook"/>
        </w:rPr>
        <w:t xml:space="preserve">                     </w:t>
      </w:r>
      <w:r>
        <w:rPr/>
        <w:t>Date of Report: September 13,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Pacific Gas and Electric Company     PG&amp;E Corporation</w:t>
      </w:r>
    </w:p>
    <w:p>
      <w:pPr>
        <w:pStyle w:val="Normal"/>
        <w:rPr/>
      </w:pPr>
      <w:r>
        <w:rPr/>
        <w:t>77 Beale Street, P.O. Box 770000     One Market, Spear Tower, Suite 2400</w:t>
      </w:r>
    </w:p>
    <w:p>
      <w:pPr>
        <w:pStyle w:val="Normal"/>
        <w:rPr/>
      </w:pPr>
      <w:r>
        <w:rPr/>
        <w:t>San Francisco, California  94177     San Francisco, California 94105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Pacific Gas and Electric Company                PG&amp;E Corporation</w:t>
      </w:r>
    </w:p>
    <w:p>
      <w:pPr>
        <w:pStyle w:val="Normal"/>
        <w:rPr/>
      </w:pPr>
      <w:r>
        <w:rPr>
          <w:rFonts w:eastAsia="Century Schoolbook"/>
        </w:rPr>
        <w:t xml:space="preserve">           </w:t>
      </w:r>
      <w:r>
        <w:rPr/>
        <w:t>(415) 973-7000                        (415) 267-7000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Item 5.  Other Events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 September 7, 2000, the California Public Utilities Commission (CPUC)</w:t>
      </w:r>
    </w:p>
    <w:p>
      <w:pPr>
        <w:pStyle w:val="Normal"/>
        <w:rPr/>
      </w:pPr>
      <w:r>
        <w:rPr/>
        <w:t>issued an order expanding an existing investigation into the wholesale</w:t>
      </w:r>
    </w:p>
    <w:p>
      <w:pPr>
        <w:pStyle w:val="Normal"/>
        <w:rPr/>
      </w:pPr>
      <w:r>
        <w:rPr/>
        <w:t>electric market and associated impact on electric rates to include the</w:t>
      </w:r>
    </w:p>
    <w:p>
      <w:pPr>
        <w:pStyle w:val="Normal"/>
        <w:rPr/>
      </w:pPr>
      <w:r>
        <w:rPr/>
        <w:t>issues identified in California Assembly Joint Resolution No. 77 (AJR No.</w:t>
      </w:r>
    </w:p>
    <w:p>
      <w:pPr>
        <w:pStyle w:val="Normal"/>
        <w:rPr/>
      </w:pPr>
      <w:r>
        <w:rPr/>
        <w:t>77) adopted by the California Legislature on August 30, 2000.  AJR No. 77</w:t>
      </w:r>
    </w:p>
    <w:p>
      <w:pPr>
        <w:pStyle w:val="Normal"/>
        <w:rPr/>
      </w:pPr>
      <w:r>
        <w:rPr/>
        <w:t>required the CPUC to initiate an investigation to review the impact of the</w:t>
      </w:r>
    </w:p>
    <w:p>
      <w:pPr>
        <w:pStyle w:val="Normal"/>
        <w:rPr/>
      </w:pPr>
      <w:r>
        <w:rPr/>
        <w:t>current electricity crisis on consumers and California investor owned</w:t>
      </w:r>
    </w:p>
    <w:p>
      <w:pPr>
        <w:pStyle w:val="Normal"/>
        <w:rPr/>
      </w:pPr>
      <w:r>
        <w:rPr/>
        <w:t>utilities, such as Pacific Gas and Electric Company (Utility), a subsidiary</w:t>
      </w:r>
    </w:p>
    <w:p>
      <w:pPr>
        <w:pStyle w:val="Normal"/>
        <w:rPr/>
      </w:pPr>
      <w:r>
        <w:rPr/>
        <w:t>of PG&amp;E Corporation, with emphasis on the options for correcting the</w:t>
      </w:r>
    </w:p>
    <w:p>
      <w:pPr>
        <w:pStyle w:val="Normal"/>
        <w:rPr/>
      </w:pPr>
      <w:r>
        <w:rPr/>
        <w:t>electricity market, methods to eliminate price volatility for consumers,</w:t>
      </w:r>
    </w:p>
    <w:p>
      <w:pPr>
        <w:pStyle w:val="Normal"/>
        <w:rPr/>
      </w:pPr>
      <w:r>
        <w:rPr/>
        <w:t>and methods for cost recovery and cost allocation.  The CPUC's decision</w:t>
      </w:r>
    </w:p>
    <w:p>
      <w:pPr>
        <w:pStyle w:val="Normal"/>
        <w:rPr/>
      </w:pPr>
      <w:r>
        <w:rPr/>
        <w:t>specifically expanded the scope of its pending investigative proceeding to</w:t>
      </w:r>
    </w:p>
    <w:p>
      <w:pPr>
        <w:pStyle w:val="Normal"/>
        <w:rPr/>
      </w:pPr>
      <w:r>
        <w:rPr/>
        <w:t>cover the matters required to be considered by AJR No. 77.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As previously disclosed, due to the high wholesale power prices at which</w:t>
      </w:r>
    </w:p>
    <w:p>
      <w:pPr>
        <w:pStyle w:val="Normal"/>
        <w:rPr/>
      </w:pPr>
      <w:r>
        <w:rPr/>
        <w:t>the Utility purchases power for its electric distribution customers from</w:t>
      </w:r>
    </w:p>
    <w:p>
      <w:pPr>
        <w:pStyle w:val="Normal"/>
        <w:rPr/>
      </w:pPr>
      <w:r>
        <w:rPr/>
        <w:t>the California Power Exchange (CalPX) and the California Independent System</w:t>
      </w:r>
    </w:p>
    <w:p>
      <w:pPr>
        <w:pStyle w:val="Normal"/>
        <w:rPr/>
      </w:pPr>
      <w:r>
        <w:rPr/>
        <w:t>Operator (CAISO), the Utility has been required to defer for future</w:t>
      </w:r>
    </w:p>
    <w:p>
      <w:pPr>
        <w:pStyle w:val="Normal"/>
        <w:rPr/>
      </w:pPr>
      <w:r>
        <w:rPr/>
        <w:t>recovery the amount of its costs, primarily wholesale power purchase costs,</w:t>
      </w:r>
    </w:p>
    <w:p>
      <w:pPr>
        <w:pStyle w:val="Normal"/>
        <w:rPr/>
      </w:pPr>
      <w:r>
        <w:rPr/>
        <w:t>to serve distribution customers that exceed revenues collected from frozen</w:t>
      </w:r>
    </w:p>
    <w:p>
      <w:pPr>
        <w:pStyle w:val="Normal"/>
        <w:rPr/>
      </w:pPr>
      <w:r>
        <w:rPr/>
        <w:t>rates.  The average price the Utility was charged for electric power in the</w:t>
      </w:r>
    </w:p>
    <w:p>
      <w:pPr>
        <w:pStyle w:val="Normal"/>
        <w:rPr/>
      </w:pPr>
      <w:r>
        <w:rPr/>
        <w:t>months of June, July, and August 2000, was approximately 16.3 cents per</w:t>
      </w:r>
    </w:p>
    <w:p>
      <w:pPr>
        <w:pStyle w:val="Normal"/>
        <w:rPr/>
      </w:pPr>
      <w:r>
        <w:rPr/>
        <w:t>kilowatt-hour (kWh), 11.0 cents per kWh, and 18.7 cents per kWh, compared</w:t>
      </w:r>
    </w:p>
    <w:p>
      <w:pPr>
        <w:pStyle w:val="Normal"/>
        <w:rPr/>
      </w:pPr>
      <w:r>
        <w:rPr/>
        <w:t>to 3.0, 3.9, and 4.1 for the same months in 1999.  The portion of frozen</w:t>
      </w:r>
    </w:p>
    <w:p>
      <w:pPr>
        <w:pStyle w:val="Normal"/>
        <w:rPr/>
      </w:pPr>
      <w:r>
        <w:rPr/>
        <w:t>rates available for payment of wholesale electric power costs during those</w:t>
      </w:r>
    </w:p>
    <w:p>
      <w:pPr>
        <w:pStyle w:val="Normal"/>
        <w:rPr/>
      </w:pPr>
      <w:r>
        <w:rPr/>
        <w:t>same periods was approximately 5.4 cents per kWh.  At August 31, 2000, the</w:t>
      </w:r>
    </w:p>
    <w:p>
      <w:pPr>
        <w:pStyle w:val="Normal"/>
        <w:rPr/>
      </w:pPr>
      <w:r>
        <w:rPr/>
        <w:t>uncollected balance of these wholesale power purchase costs recorded in the</w:t>
      </w:r>
    </w:p>
    <w:p>
      <w:pPr>
        <w:pStyle w:val="Normal"/>
        <w:rPr/>
      </w:pPr>
      <w:r>
        <w:rPr/>
        <w:t>Utility's regulatory balancing account was approximately $2.2 billion.  The</w:t>
      </w:r>
    </w:p>
    <w:p>
      <w:pPr>
        <w:pStyle w:val="Normal"/>
        <w:rPr/>
      </w:pPr>
      <w:r>
        <w:rPr/>
        <w:t>deferred costs are recoverable during the transition period when and if</w:t>
      </w:r>
    </w:p>
    <w:p>
      <w:pPr>
        <w:pStyle w:val="Normal"/>
        <w:rPr/>
      </w:pPr>
      <w:r>
        <w:rPr/>
        <w:t>revenues from frozen rates exceed costs.  However, if high wholesale power</w:t>
      </w:r>
    </w:p>
    <w:p>
      <w:pPr>
        <w:pStyle w:val="Normal"/>
        <w:rPr/>
      </w:pPr>
      <w:r>
        <w:rPr/>
        <w:t>prices continue throughout the transition period, costs will continue to</w:t>
      </w:r>
    </w:p>
    <w:p>
      <w:pPr>
        <w:pStyle w:val="Normal"/>
        <w:rPr/>
      </w:pPr>
      <w:r>
        <w:rPr/>
        <w:t>exceed the revenues based upon the frozen rates.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As previously disclosed, under a prior CPUC decision the Utility is</w:t>
      </w:r>
    </w:p>
    <w:p>
      <w:pPr>
        <w:pStyle w:val="Normal"/>
        <w:rPr/>
      </w:pPr>
      <w:r>
        <w:rPr/>
        <w:t>prohibited from collecting after the transition period certain electric</w:t>
      </w:r>
    </w:p>
    <w:p>
      <w:pPr>
        <w:pStyle w:val="Normal"/>
        <w:rPr/>
      </w:pPr>
      <w:r>
        <w:rPr/>
        <w:t>costs incurred during the transition period but not recovered from frozen</w:t>
      </w:r>
    </w:p>
    <w:p>
      <w:pPr>
        <w:pStyle w:val="Normal"/>
        <w:rPr/>
      </w:pPr>
      <w:r>
        <w:rPr/>
        <w:t>rates during that period, including under-collected account balances</w:t>
      </w:r>
    </w:p>
    <w:p>
      <w:pPr>
        <w:pStyle w:val="Normal"/>
        <w:rPr/>
      </w:pPr>
      <w:r>
        <w:rPr/>
        <w:t>relating to wholesale power purchases, such as power purchased from the</w:t>
      </w:r>
    </w:p>
    <w:p>
      <w:pPr>
        <w:pStyle w:val="Normal"/>
        <w:rPr/>
      </w:pPr>
      <w:r>
        <w:rPr/>
        <w:t>CalPX and CAISO.  The CPUC decision prohibits offsetting these specific</w:t>
      </w:r>
    </w:p>
    <w:p>
      <w:pPr>
        <w:pStyle w:val="Normal"/>
        <w:rPr/>
      </w:pPr>
      <w:r>
        <w:rPr/>
        <w:t>under-collected amounts against over-collected transition costs.  The</w:t>
      </w:r>
    </w:p>
    <w:p>
      <w:pPr>
        <w:pStyle w:val="Normal"/>
        <w:rPr/>
      </w:pPr>
      <w:r>
        <w:rPr/>
        <w:t>Utility appealed this decision but on September 6, 2000, the California</w:t>
      </w:r>
    </w:p>
    <w:p>
      <w:pPr>
        <w:pStyle w:val="Normal"/>
        <w:rPr/>
      </w:pPr>
      <w:r>
        <w:rPr/>
        <w:t>Court of Appeal denied the Utility's petition for review.  The Utility is</w:t>
      </w:r>
    </w:p>
    <w:p>
      <w:pPr>
        <w:pStyle w:val="Normal"/>
        <w:rPr/>
      </w:pPr>
      <w:r>
        <w:rPr/>
        <w:t>assessing further appeals and challenges to reverse or modify the decision.</w:t>
      </w:r>
    </w:p>
    <w:p>
      <w:pPr>
        <w:pStyle w:val="Normal"/>
        <w:rPr/>
      </w:pPr>
      <w:r>
        <w:rPr/>
        <w:t>If the CPUC does not modify its decision or the decision is not modified or</w:t>
      </w:r>
    </w:p>
    <w:p>
      <w:pPr>
        <w:pStyle w:val="Normal"/>
        <w:rPr/>
      </w:pPr>
      <w:r>
        <w:rPr/>
        <w:t>invalidated by judicial action, and if the Utility determines that its</w:t>
      </w:r>
    </w:p>
    <w:p>
      <w:pPr>
        <w:pStyle w:val="Normal"/>
        <w:rPr/>
      </w:pPr>
      <w:r>
        <w:rPr/>
        <w:t>uncollected wholesale power purchase costs are not probable of recovery,</w:t>
      </w:r>
    </w:p>
    <w:p>
      <w:pPr>
        <w:pStyle w:val="Normal"/>
        <w:rPr/>
      </w:pPr>
      <w:r>
        <w:rPr/>
        <w:t>then the Utility would be required to write off the unrecoverable portion</w:t>
      </w:r>
    </w:p>
    <w:p>
      <w:pPr>
        <w:pStyle w:val="Normal"/>
        <w:rPr/>
      </w:pPr>
      <w:r>
        <w:rPr/>
        <w:t>as a one-time charge against earnings.  In addition, the Utility would be</w:t>
      </w:r>
    </w:p>
    <w:p>
      <w:pPr>
        <w:pStyle w:val="Normal"/>
        <w:rPr/>
      </w:pPr>
      <w:r>
        <w:rPr/>
        <w:t>unable to continue deferring these costs incurred prior to the end of the</w:t>
      </w:r>
    </w:p>
    <w:p>
      <w:pPr>
        <w:pStyle w:val="Normal"/>
        <w:rPr/>
      </w:pPr>
      <w:r>
        <w:rPr/>
        <w:t>transition period and such expenses would reduce the Utility's future</w:t>
      </w:r>
    </w:p>
    <w:p>
      <w:pPr>
        <w:pStyle w:val="Normal"/>
        <w:rPr/>
      </w:pPr>
      <w:r>
        <w:rPr/>
        <w:t>earnings accordingly.  With respect to wholesale power purchase costs</w:t>
      </w:r>
    </w:p>
    <w:p>
      <w:pPr>
        <w:pStyle w:val="Normal"/>
        <w:rPr/>
      </w:pPr>
      <w:r>
        <w:rPr/>
        <w:t>incurred after the end of the transition period and prior to any adjustment</w:t>
      </w:r>
    </w:p>
    <w:p>
      <w:pPr>
        <w:pStyle w:val="Normal"/>
        <w:rPr/>
      </w:pPr>
      <w:r>
        <w:rPr/>
        <w:t>in rates, the Utility may be able to defer these costs if it determines</w:t>
      </w:r>
    </w:p>
    <w:p>
      <w:pPr>
        <w:pStyle w:val="Normal"/>
        <w:rPr/>
      </w:pPr>
      <w:r>
        <w:rPr/>
        <w:t>that they are probable of recovery.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Utility has largely utilized its existing $1 billion revolving credit</w:t>
      </w:r>
    </w:p>
    <w:p>
      <w:pPr>
        <w:pStyle w:val="Normal"/>
        <w:rPr/>
      </w:pPr>
      <w:r>
        <w:rPr/>
        <w:t>facility to support the Utility's commercial paper program and other</w:t>
      </w:r>
    </w:p>
    <w:p>
      <w:pPr>
        <w:pStyle w:val="Normal"/>
        <w:rPr/>
      </w:pPr>
      <w:r>
        <w:rPr/>
        <w:t>liquidity requirements.  The facility expires in 2002, although the Utility</w:t>
      </w:r>
    </w:p>
    <w:p>
      <w:pPr>
        <w:pStyle w:val="Normal"/>
        <w:rPr/>
      </w:pPr>
      <w:r>
        <w:rPr/>
        <w:t>may extend the facility annually for additional one-year periods upon</w:t>
      </w:r>
    </w:p>
    <w:p>
      <w:pPr>
        <w:pStyle w:val="Normal"/>
        <w:rPr/>
      </w:pPr>
      <w:r>
        <w:rPr/>
        <w:t>agreement with the banks.  The Utility currently has authority from the</w:t>
      </w:r>
    </w:p>
    <w:p>
      <w:pPr>
        <w:pStyle w:val="Normal"/>
        <w:rPr/>
      </w:pPr>
      <w:r>
        <w:rPr/>
        <w:t>CPUC to issue up to $1.7 billion of short-term financing, and on September</w:t>
      </w:r>
    </w:p>
    <w:p>
      <w:pPr>
        <w:pStyle w:val="Normal"/>
        <w:rPr/>
      </w:pPr>
      <w:r>
        <w:rPr/>
        <w:t>8, 2000, the Utility filed an application with the CPUC seeking an</w:t>
      </w:r>
    </w:p>
    <w:p>
      <w:pPr>
        <w:pStyle w:val="Normal"/>
        <w:rPr/>
      </w:pPr>
      <w:r>
        <w:rPr/>
        <w:t>additional $1.4 billion short-term financing authority.  The Utility is</w:t>
      </w:r>
    </w:p>
    <w:p>
      <w:pPr>
        <w:pStyle w:val="Normal"/>
        <w:rPr/>
      </w:pPr>
      <w:r>
        <w:rPr/>
        <w:t>also considering the issuance of additional long-term debt to finance</w:t>
      </w:r>
    </w:p>
    <w:p>
      <w:pPr>
        <w:pStyle w:val="Normal"/>
        <w:rPr/>
      </w:pPr>
      <w:r>
        <w:rPr/>
        <w:t>wholesale power purchase costs and its other capital requirements.</w:t>
      </w:r>
    </w:p>
    <w:p>
      <w:pPr>
        <w:pStyle w:val="Normal"/>
        <w:rPr/>
      </w:pPr>
      <w:r>
        <w:rPr/>
        <w:t>Although there can be no assurance, the Utility believes that it will be</w:t>
      </w:r>
    </w:p>
    <w:p>
      <w:pPr>
        <w:pStyle w:val="Normal"/>
        <w:rPr/>
      </w:pPr>
      <w:r>
        <w:rPr/>
        <w:t>able to obtain additional financing on acceptable terms and conditions.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remarks to energy industry analysts on September 11, 2000, Robert D.</w:t>
      </w:r>
    </w:p>
    <w:p>
      <w:pPr>
        <w:pStyle w:val="Normal"/>
        <w:rPr/>
      </w:pPr>
      <w:r>
        <w:rPr/>
        <w:t>Glynn, Jr., Chairman of the Board, Chief Executive Officer, and President</w:t>
      </w:r>
    </w:p>
    <w:p>
      <w:pPr>
        <w:pStyle w:val="Normal"/>
        <w:rPr/>
      </w:pPr>
      <w:r>
        <w:rPr/>
        <w:t>of PG&amp;E Corporation, responded to questions concerning the Utility's</w:t>
      </w:r>
    </w:p>
    <w:p>
      <w:pPr>
        <w:pStyle w:val="Normal"/>
        <w:rPr/>
      </w:pPr>
      <w:r>
        <w:rPr/>
        <w:t>ability to recover its utility generation-related transition costs</w:t>
      </w:r>
    </w:p>
    <w:p>
      <w:pPr>
        <w:pStyle w:val="Normal"/>
        <w:rPr/>
      </w:pPr>
      <w:r>
        <w:rPr/>
        <w:t>(transition costs) and the uncollected wholesale power purchase costs, in</w:t>
      </w:r>
    </w:p>
    <w:p>
      <w:pPr>
        <w:pStyle w:val="Normal"/>
        <w:rPr/>
      </w:pPr>
      <w:r>
        <w:rPr/>
        <w:t>light of the continuing high wholesale power prices in California.</w:t>
      </w:r>
    </w:p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  <w:t>Mr. Glynn noted that before the high wholesale power prices began to be</w:t>
      </w:r>
    </w:p>
    <w:p>
      <w:pPr>
        <w:pStyle w:val="Normal"/>
        <w:rPr>
          <w:highlight w:val="yellow"/>
        </w:rPr>
      </w:pPr>
      <w:r>
        <w:rPr>
          <w:highlight w:val="yellow"/>
        </w:rPr>
        <w:t>experienced in June 2000, revenues from frozen rates were sufficient to</w:t>
      </w:r>
    </w:p>
    <w:p>
      <w:pPr>
        <w:pStyle w:val="Normal"/>
        <w:rPr>
          <w:highlight w:val="yellow"/>
        </w:rPr>
      </w:pPr>
      <w:r>
        <w:rPr>
          <w:highlight w:val="yellow"/>
        </w:rPr>
        <w:t>recover transition costs because revenues at frozen rates exceeded costs,</w:t>
      </w:r>
    </w:p>
    <w:p>
      <w:pPr>
        <w:pStyle w:val="Normal"/>
        <w:rPr>
          <w:highlight w:val="yellow"/>
        </w:rPr>
      </w:pPr>
      <w:r>
        <w:rPr>
          <w:highlight w:val="yellow"/>
        </w:rPr>
        <w:t>including wholesale power purchase costs.  Reacting to some media</w:t>
      </w:r>
    </w:p>
    <w:p>
      <w:pPr>
        <w:pStyle w:val="Normal"/>
        <w:rPr>
          <w:highlight w:val="yellow"/>
        </w:rPr>
      </w:pPr>
      <w:r>
        <w:rPr>
          <w:highlight w:val="yellow"/>
        </w:rPr>
        <w:t>commentary that the Utility could waive the recovery of a material amount</w:t>
      </w:r>
    </w:p>
    <w:p>
      <w:pPr>
        <w:pStyle w:val="Normal"/>
        <w:rPr>
          <w:highlight w:val="yellow"/>
        </w:rPr>
      </w:pPr>
      <w:r>
        <w:rPr>
          <w:highlight w:val="yellow"/>
        </w:rPr>
        <w:t>of transition costs, with an associated material write-off of the foregone</w:t>
      </w:r>
    </w:p>
    <w:p>
      <w:pPr>
        <w:pStyle w:val="Normal"/>
        <w:rPr>
          <w:highlight w:val="yellow"/>
        </w:rPr>
      </w:pPr>
      <w:r>
        <w:rPr>
          <w:highlight w:val="yellow"/>
        </w:rPr>
        <w:t>transition costs, such that transition costs would have been recovered as</w:t>
      </w:r>
    </w:p>
    <w:p>
      <w:pPr>
        <w:pStyle w:val="Normal"/>
        <w:rPr>
          <w:highlight w:val="yellow"/>
        </w:rPr>
      </w:pPr>
      <w:r>
        <w:rPr>
          <w:highlight w:val="yellow"/>
        </w:rPr>
        <w:t>of a date when there were no deferred wholesale power purchase costs, Mr.</w:t>
      </w:r>
    </w:p>
    <w:p>
      <w:pPr>
        <w:pStyle w:val="Normal"/>
        <w:rPr>
          <w:highlight w:val="yellow"/>
        </w:rPr>
      </w:pPr>
      <w:r>
        <w:rPr>
          <w:highlight w:val="yellow"/>
        </w:rPr>
        <w:t>Glynn indicated that was one of several possible approaches for the Utility</w:t>
      </w:r>
    </w:p>
    <w:p>
      <w:pPr>
        <w:pStyle w:val="Normal"/>
        <w:rPr>
          <w:highlight w:val="yellow"/>
        </w:rPr>
      </w:pPr>
      <w:r>
        <w:rPr>
          <w:highlight w:val="yellow"/>
        </w:rPr>
        <w:t>to assess.  Mr. Glynn indicated that, if the value of the Utility's</w:t>
      </w:r>
    </w:p>
    <w:p>
      <w:pPr>
        <w:pStyle w:val="Normal"/>
        <w:rPr>
          <w:highlight w:val="yellow"/>
        </w:rPr>
      </w:pPr>
      <w:r>
        <w:rPr>
          <w:highlight w:val="yellow"/>
        </w:rPr>
        <w:t>hydroelectric generating assets, as reflected in the settlement agreement</w:t>
      </w:r>
    </w:p>
    <w:p>
      <w:pPr>
        <w:pStyle w:val="Normal"/>
        <w:rPr>
          <w:highlight w:val="yellow"/>
        </w:rPr>
      </w:pPr>
      <w:r>
        <w:rPr>
          <w:highlight w:val="yellow"/>
        </w:rPr>
        <w:t>filed by the Utility and other parties on August 9, 2000, were to be</w:t>
      </w:r>
    </w:p>
    <w:p>
      <w:pPr>
        <w:pStyle w:val="Normal"/>
        <w:rPr>
          <w:highlight w:val="yellow"/>
        </w:rPr>
      </w:pPr>
      <w:r>
        <w:rPr>
          <w:highlight w:val="yellow"/>
        </w:rPr>
        <w:t>credited to the transition costs, then such costs would have been fully</w:t>
      </w:r>
    </w:p>
    <w:p>
      <w:pPr>
        <w:pStyle w:val="Normal"/>
        <w:rPr>
          <w:highlight w:val="yellow"/>
        </w:rPr>
      </w:pPr>
      <w:r>
        <w:rPr>
          <w:highlight w:val="yellow"/>
        </w:rPr>
        <w:t>recovered during August 2000.  Mr. Glynn based his statement on the</w:t>
      </w:r>
    </w:p>
    <w:p>
      <w:pPr>
        <w:pStyle w:val="Normal"/>
        <w:rPr>
          <w:highlight w:val="yellow"/>
        </w:rPr>
      </w:pPr>
      <w:r>
        <w:rPr>
          <w:highlight w:val="yellow"/>
        </w:rPr>
        <w:t>following facts:  Without considering the value of the Utility's</w:t>
      </w:r>
    </w:p>
    <w:p>
      <w:pPr>
        <w:pStyle w:val="Normal"/>
        <w:rPr>
          <w:highlight w:val="yellow"/>
        </w:rPr>
      </w:pPr>
      <w:r>
        <w:rPr>
          <w:highlight w:val="yellow"/>
        </w:rPr>
        <w:t>hydroelectric assets, at August 31, 2000, the Utility's estimated remaining</w:t>
      </w:r>
    </w:p>
    <w:p>
      <w:pPr>
        <w:pStyle w:val="Normal"/>
        <w:rPr>
          <w:highlight w:val="yellow"/>
        </w:rPr>
      </w:pPr>
      <w:r>
        <w:rPr>
          <w:highlight w:val="yellow"/>
        </w:rPr>
        <w:t>uncollected transition costs that must be collected during the transition</w:t>
      </w:r>
    </w:p>
    <w:p>
      <w:pPr>
        <w:pStyle w:val="Normal"/>
        <w:rPr>
          <w:highlight w:val="yellow"/>
        </w:rPr>
      </w:pPr>
      <w:r>
        <w:rPr>
          <w:highlight w:val="yellow"/>
        </w:rPr>
        <w:t>period were approximately $1.6 billion.  As previously disclosed, the</w:t>
      </w:r>
    </w:p>
    <w:p>
      <w:pPr>
        <w:pStyle w:val="Normal"/>
        <w:rPr>
          <w:highlight w:val="yellow"/>
        </w:rPr>
      </w:pPr>
      <w:r>
        <w:rPr>
          <w:highlight w:val="yellow"/>
        </w:rPr>
        <w:t>settlement agreement filed by the Utility and others on August 9, 2000,</w:t>
      </w:r>
    </w:p>
    <w:p>
      <w:pPr>
        <w:pStyle w:val="Normal"/>
        <w:rPr>
          <w:highlight w:val="yellow"/>
        </w:rPr>
      </w:pPr>
      <w:r>
        <w:rPr>
          <w:highlight w:val="yellow"/>
        </w:rPr>
        <w:t>regarding the valuation and disposition of the Utility's hydroelectric</w:t>
      </w:r>
    </w:p>
    <w:p>
      <w:pPr>
        <w:pStyle w:val="Normal"/>
        <w:rPr>
          <w:highlight w:val="yellow"/>
        </w:rPr>
      </w:pPr>
      <w:r>
        <w:rPr>
          <w:highlight w:val="yellow"/>
        </w:rPr>
        <w:t>assets, specifies that the value of those assets for purpose of transition</w:t>
      </w:r>
    </w:p>
    <w:p>
      <w:pPr>
        <w:pStyle w:val="Normal"/>
        <w:rPr>
          <w:highlight w:val="yellow"/>
        </w:rPr>
      </w:pPr>
      <w:r>
        <w:rPr>
          <w:highlight w:val="yellow"/>
        </w:rPr>
        <w:t>cost calculation is $2.8 billion, which would be reduced by its book value</w:t>
      </w:r>
    </w:p>
    <w:p>
      <w:pPr>
        <w:pStyle w:val="Normal"/>
        <w:rPr>
          <w:highlight w:val="yellow"/>
        </w:rPr>
      </w:pPr>
      <w:r>
        <w:rPr>
          <w:highlight w:val="yellow"/>
        </w:rPr>
        <w:t>of approximately $700 million.  Testimony taken to date in the CPUC</w:t>
      </w:r>
    </w:p>
    <w:p>
      <w:pPr>
        <w:pStyle w:val="Normal"/>
        <w:rPr>
          <w:highlight w:val="yellow"/>
        </w:rPr>
      </w:pPr>
      <w:r>
        <w:rPr>
          <w:highlight w:val="yellow"/>
        </w:rPr>
        <w:t>proceeding where valuation is to be established put the range of market</w:t>
      </w:r>
    </w:p>
    <w:p>
      <w:pPr>
        <w:pStyle w:val="Normal"/>
        <w:rPr>
          <w:highlight w:val="yellow"/>
        </w:rPr>
      </w:pPr>
      <w:r>
        <w:rPr>
          <w:highlight w:val="yellow"/>
        </w:rPr>
        <w:t>values from $2.4 billion to in excess of $3 billion under operating and</w:t>
      </w:r>
    </w:p>
    <w:p>
      <w:pPr>
        <w:pStyle w:val="Normal"/>
        <w:rPr>
          <w:highlight w:val="yellow"/>
        </w:rPr>
      </w:pPr>
      <w:r>
        <w:rPr>
          <w:highlight w:val="yellow"/>
        </w:rPr>
        <w:t>market conditions prior to June 2000.  Under the electric industry</w:t>
      </w:r>
    </w:p>
    <w:p>
      <w:pPr>
        <w:pStyle w:val="Normal"/>
        <w:rPr>
          <w:highlight w:val="yellow"/>
        </w:rPr>
      </w:pPr>
      <w:r>
        <w:rPr>
          <w:highlight w:val="yellow"/>
        </w:rPr>
        <w:t>restructuring law, when the Utility completes recovery of its uneconomic</w:t>
      </w:r>
    </w:p>
    <w:p>
      <w:pPr>
        <w:pStyle w:val="Normal"/>
        <w:rPr>
          <w:highlight w:val="yellow"/>
        </w:rPr>
      </w:pPr>
      <w:r>
        <w:rPr>
          <w:highlight w:val="yellow"/>
        </w:rPr>
        <w:t>utility generation-related assets and obligations it will satisfy the</w:t>
      </w:r>
    </w:p>
    <w:p>
      <w:pPr>
        <w:pStyle w:val="Normal"/>
        <w:rPr>
          <w:highlight w:val="yellow"/>
        </w:rPr>
      </w:pPr>
      <w:r>
        <w:rPr>
          <w:highlight w:val="yellow"/>
        </w:rPr>
        <w:t>conditions that permit the CPUC to determine that the rate freeze and</w:t>
      </w:r>
    </w:p>
    <w:p>
      <w:pPr>
        <w:pStyle w:val="Normal"/>
        <w:rPr>
          <w:highlight w:val="yellow"/>
        </w:rPr>
      </w:pPr>
      <w:r>
        <w:rPr>
          <w:highlight w:val="yellow"/>
        </w:rPr>
        <w:t>transition period are over.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Mr. Glynn stated that the Utility will work with parties involved in the</w:t>
      </w:r>
    </w:p>
    <w:p>
      <w:pPr>
        <w:pStyle w:val="Normal"/>
        <w:rPr/>
      </w:pPr>
      <w:r>
        <w:rPr/>
        <w:t>California energy market with the intent to resolve the transition in a way</w:t>
      </w:r>
    </w:p>
    <w:p>
      <w:pPr>
        <w:pStyle w:val="Normal"/>
        <w:rPr/>
      </w:pPr>
      <w:r>
        <w:rPr/>
        <w:t>that would help shield customers from the type of unexpected volatility</w:t>
      </w:r>
    </w:p>
    <w:p>
      <w:pPr>
        <w:pStyle w:val="Normal"/>
        <w:rPr/>
      </w:pPr>
      <w:r>
        <w:rPr/>
        <w:t>experienced during the summer of 2000, while providing the assurance that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Utility would fully recover its reasonable wholesale power purchase</w:t>
      </w:r>
    </w:p>
    <w:p>
      <w:pPr>
        <w:pStyle w:val="Normal"/>
        <w:rPr/>
      </w:pPr>
      <w:r>
        <w:rPr/>
        <w:t>costs.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entury Schoolbook"/>
        </w:rPr>
        <w:t xml:space="preserve">                             </w:t>
      </w:r>
      <w:r>
        <w:rPr/>
        <w:t>SIGNATURE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Pursuant to the requirements of the Securities Exchange Act of 1934, the</w:t>
      </w:r>
    </w:p>
    <w:p>
      <w:pPr>
        <w:pStyle w:val="Normal"/>
        <w:rPr/>
      </w:pPr>
      <w:r>
        <w:rPr/>
        <w:t>registrants have duly caused this report to be signed on their behalf by</w:t>
      </w:r>
    </w:p>
    <w:p>
      <w:pPr>
        <w:pStyle w:val="Normal"/>
        <w:rPr/>
      </w:pPr>
      <w:r>
        <w:rPr/>
        <w:t>the undersigned thereunto duly authorized.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entury Schoolbook"/>
        </w:rPr>
        <w:t xml:space="preserve">                                    </w:t>
      </w:r>
      <w:r>
        <w:rPr/>
        <w:t>PG&amp;E CORPORATION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entury Schoolbook"/>
        </w:rPr>
        <w:t xml:space="preserve">                                    </w:t>
      </w:r>
      <w:r>
        <w:rPr/>
        <w:t>By  CHRISTOPHER P. JOHNS</w:t>
      </w:r>
    </w:p>
    <w:p>
      <w:pPr>
        <w:pStyle w:val="Normal"/>
        <w:rPr/>
      </w:pPr>
      <w:r>
        <w:rPr>
          <w:rFonts w:eastAsia="Century Schoolbook"/>
        </w:rPr>
        <w:t xml:space="preserve">                                        </w:t>
      </w:r>
      <w:r>
        <w:rPr/>
        <w:t>---------------------</w:t>
      </w:r>
    </w:p>
    <w:p>
      <w:pPr>
        <w:pStyle w:val="Normal"/>
        <w:rPr/>
      </w:pPr>
      <w:r>
        <w:rPr>
          <w:rFonts w:eastAsia="Century Schoolbook"/>
        </w:rPr>
        <w:t xml:space="preserve">                                        </w:t>
      </w:r>
      <w:r>
        <w:rPr/>
        <w:t>CHRISTOPHER P. JOHNS</w:t>
      </w:r>
    </w:p>
    <w:p>
      <w:pPr>
        <w:pStyle w:val="Normal"/>
        <w:rPr/>
      </w:pPr>
      <w:r>
        <w:rPr>
          <w:rFonts w:eastAsia="Century Schoolbook"/>
        </w:rPr>
        <w:t xml:space="preserve">                                        </w:t>
      </w:r>
      <w:r>
        <w:rPr/>
        <w:t>Vice President and Controller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entury Schoolbook"/>
        </w:rPr>
        <w:t xml:space="preserve">                                    </w:t>
      </w:r>
      <w:r>
        <w:rPr/>
        <w:t>PACIFIC GAS AND ELECTRIC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Century Schoolbook"/>
        </w:rPr>
        <w:t xml:space="preserve">                                    </w:t>
      </w:r>
      <w:r>
        <w:rPr/>
        <w:t>By  ROGER J. PETERS</w:t>
      </w:r>
    </w:p>
    <w:p>
      <w:pPr>
        <w:pStyle w:val="Normal"/>
        <w:rPr/>
      </w:pPr>
      <w:r>
        <w:rPr>
          <w:rFonts w:eastAsia="Century Schoolbook"/>
        </w:rPr>
        <w:t xml:space="preserve">                                        </w:t>
      </w:r>
      <w:r>
        <w:rPr/>
        <w:t>---------------------</w:t>
      </w:r>
    </w:p>
    <w:p>
      <w:pPr>
        <w:pStyle w:val="Normal"/>
        <w:rPr/>
      </w:pPr>
      <w:r>
        <w:rPr>
          <w:rFonts w:eastAsia="Century Schoolbook"/>
        </w:rPr>
        <w:t xml:space="preserve">                                        </w:t>
      </w:r>
      <w:r>
        <w:rPr/>
        <w:t>ROGER J. PETERS</w:t>
      </w:r>
    </w:p>
    <w:p>
      <w:pPr>
        <w:pStyle w:val="Normal"/>
        <w:rPr/>
      </w:pPr>
      <w:r>
        <w:rPr>
          <w:rFonts w:eastAsia="Century Schoolbook"/>
        </w:rPr>
        <w:t xml:space="preserve">                                        </w:t>
      </w:r>
      <w:r>
        <w:rPr/>
        <w:t>Senior Vice President and General</w:t>
      </w:r>
    </w:p>
    <w:p>
      <w:pPr>
        <w:pStyle w:val="Normal"/>
        <w:rPr/>
      </w:pPr>
      <w:r>
        <w:rPr>
          <w:rFonts w:eastAsia="Century Schoolbook"/>
        </w:rPr>
        <w:t xml:space="preserve">                                        </w:t>
      </w:r>
      <w:r>
        <w:rPr/>
        <w:t>Counsel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Dated: September 13,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&lt;/TEXT&gt;</w:t>
      </w:r>
    </w:p>
    <w:p>
      <w:pPr>
        <w:pStyle w:val="Normal"/>
        <w:rPr/>
      </w:pPr>
      <w:r>
        <w:rPr/>
        <w:t>&lt;/DOCUMENT&gt;</w:t>
      </w:r>
    </w:p>
    <w:p>
      <w:pPr>
        <w:pStyle w:val="Normal"/>
        <w:rPr/>
      </w:pPr>
      <w:r>
        <w:rPr/>
        <w:t>&lt;/SEC-DOCUMENT&gt;</w:t>
      </w:r>
    </w:p>
    <w:p>
      <w:pPr>
        <w:pStyle w:val="Normal"/>
        <w:rPr/>
      </w:pPr>
      <w:r>
        <w:rPr/>
        <w:t>-----END PRIVACY-ENHANCED MESSAGE-----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 Schoolbook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entury Schoolbook" w:hAnsi="Century Schoolbook" w:eastAsia="Times New Roman" w:cs="Century Schoolbook"/>
      <w:color w:val="auto"/>
      <w:sz w:val="22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2000-09-20T14:07:00Z</dcterms:created>
  <dc:creator>smara</dc:creator>
  <dc:description/>
  <dc:language>en-CA</dc:language>
  <cp:lastModifiedBy>smara</cp:lastModifiedBy>
  <dcterms:modified xsi:type="dcterms:W3CDTF">2000-09-20T14:07:00Z</dcterms:modified>
  <cp:revision>2</cp:revision>
  <dc:subject/>
  <dc:title>               SECURITIES AND EXCHANGE COMMISSION</dc:title>
</cp:coreProperties>
</file>