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 xml:space="preserve">The hourly PX price (PX) was determined (from April 17, 2000 through January 19, 2000) by multiplying the forward market cost (FM) adjusted for certain factors by the allowance for uncollectibles (U) and by the distribution loss factor (DLF). </w:t>
      </w:r>
    </w:p>
    <w:p>
      <w:pPr>
        <w:pStyle w:val="Normal"/>
        <w:rPr/>
      </w:pPr>
      <w:r>
        <w:rPr/>
      </w:r>
    </w:p>
    <w:p>
      <w:pPr>
        <w:pStyle w:val="Normal"/>
        <w:rPr/>
      </w:pPr>
      <w:r>
        <w:rPr>
          <w:b/>
          <w:bCs/>
        </w:rPr>
        <w:t xml:space="preserve">PX (day n, hr) = [FM (day n, hr) + Adj (day n-91, hr) + PSA + RT Est Adj (day n-7, hr)] * U (day n, hr) * DLF (day n, hr) </w:t>
      </w:r>
      <w:r>
        <w:rPr>
          <w:rStyle w:val="FootnoteCharacters"/>
          <w:rStyle w:val="FootnoteReference"/>
          <w:b/>
          <w:bCs/>
        </w:rPr>
        <w:footnoteReference w:id="2"/>
      </w:r>
      <w:r>
        <w:rPr>
          <w:b/>
          <w:bCs/>
        </w:rPr>
        <w:br/>
      </w:r>
    </w:p>
    <w:p>
      <w:pPr>
        <w:pStyle w:val="Normal"/>
        <w:rPr/>
      </w:pPr>
      <w:r>
        <w:rPr/>
        <w:t xml:space="preserve">The forward market cost (FM) is determined as the sum of all energy costs (a combination of hourly ISO costs and the appropriate Block Forward costs) plus the PX administrative costs (PXAdm) and the ISO grid management charge (GMC). </w:t>
      </w:r>
    </w:p>
    <w:p>
      <w:pPr>
        <w:pStyle w:val="Normal"/>
        <w:rPr/>
      </w:pPr>
      <w:r>
        <w:rPr/>
      </w:r>
    </w:p>
    <w:p>
      <w:pPr>
        <w:pStyle w:val="Heading1"/>
        <w:ind w:hanging="0" w:start="0"/>
        <w:rPr/>
      </w:pPr>
      <w:r>
        <w:rPr/>
        <w:t>FM (day n, hr) = ([HC (day n, hr) + BFC (day n, hr)] / SL) + PXAdm (day n, hr) + GMC (day n, hr)</w:t>
      </w:r>
    </w:p>
    <w:p>
      <w:pPr>
        <w:pStyle w:val="Header"/>
        <w:tabs>
          <w:tab w:val="clear" w:pos="4320"/>
          <w:tab w:val="clear" w:pos="8640"/>
        </w:tabs>
        <w:rPr/>
      </w:pPr>
      <w:r>
        <w:rPr/>
      </w:r>
    </w:p>
    <w:p>
      <w:pPr>
        <w:pStyle w:val="Header"/>
        <w:tabs>
          <w:tab w:val="clear" w:pos="4320"/>
          <w:tab w:val="clear" w:pos="8640"/>
        </w:tabs>
        <w:rPr>
          <w:b/>
          <w:bCs/>
        </w:rPr>
      </w:pPr>
      <w:r>
        <w:rPr>
          <w:b/>
          <w:bCs/>
        </w:rPr>
        <w:t>HC = Hourly Market Cost</w:t>
      </w:r>
    </w:p>
    <w:p>
      <w:pPr>
        <w:pStyle w:val="Header"/>
        <w:tabs>
          <w:tab w:val="clear" w:pos="4320"/>
          <w:tab w:val="clear" w:pos="8640"/>
        </w:tabs>
        <w:rPr>
          <w:b/>
          <w:bCs/>
        </w:rPr>
      </w:pPr>
      <w:r>
        <w:rPr>
          <w:b/>
          <w:bCs/>
        </w:rPr>
        <w:t>HC = MCP (day n, hr) * (SL – BFL)</w:t>
      </w:r>
    </w:p>
    <w:p>
      <w:pPr>
        <w:pStyle w:val="Header"/>
        <w:tabs>
          <w:tab w:val="clear" w:pos="4320"/>
          <w:tab w:val="clear" w:pos="8640"/>
        </w:tabs>
        <w:rPr>
          <w:b/>
          <w:bCs/>
        </w:rPr>
      </w:pPr>
      <w:r>
        <w:rPr>
          <w:b/>
          <w:bCs/>
        </w:rPr>
      </w:r>
    </w:p>
    <w:p>
      <w:pPr>
        <w:pStyle w:val="Normal"/>
        <w:rPr>
          <w:b/>
          <w:bCs/>
        </w:rPr>
      </w:pPr>
      <w:r>
        <w:rPr>
          <w:b/>
          <w:bCs/>
        </w:rPr>
        <w:t>SL = System Load</w:t>
      </w:r>
    </w:p>
    <w:p>
      <w:pPr>
        <w:pStyle w:val="Normal"/>
        <w:rPr>
          <w:b/>
          <w:bCs/>
        </w:rPr>
      </w:pPr>
      <w:r>
        <w:rPr>
          <w:b/>
          <w:bCs/>
        </w:rPr>
      </w:r>
    </w:p>
    <w:p>
      <w:pPr>
        <w:pStyle w:val="Normal"/>
        <w:rPr>
          <w:b/>
          <w:bCs/>
        </w:rPr>
      </w:pPr>
      <w:r>
        <w:rPr>
          <w:b/>
          <w:bCs/>
        </w:rPr>
        <w:t>BFL = Block Forward Load</w:t>
      </w:r>
    </w:p>
    <w:p>
      <w:pPr>
        <w:pStyle w:val="Normal"/>
        <w:rPr>
          <w:b/>
          <w:bCs/>
        </w:rPr>
      </w:pPr>
      <w:r>
        <w:rPr>
          <w:b/>
          <w:bCs/>
        </w:rPr>
      </w:r>
    </w:p>
    <w:p>
      <w:pPr>
        <w:pStyle w:val="Normal"/>
        <w:rPr>
          <w:b/>
          <w:bCs/>
        </w:rPr>
      </w:pPr>
      <w:r>
        <w:rPr>
          <w:b/>
          <w:bCs/>
        </w:rPr>
        <w:t>BFC = Block Forward Cost (including Block Forward administrative costs)</w:t>
      </w:r>
    </w:p>
    <w:p>
      <w:pPr>
        <w:pStyle w:val="Header"/>
        <w:tabs>
          <w:tab w:val="clear" w:pos="4320"/>
          <w:tab w:val="clear" w:pos="8640"/>
        </w:tabs>
        <w:rPr>
          <w:b/>
          <w:bCs/>
        </w:rPr>
      </w:pPr>
      <w:r>
        <w:rPr>
          <w:b/>
          <w:bCs/>
        </w:rPr>
      </w:r>
    </w:p>
    <w:p>
      <w:pPr>
        <w:pStyle w:val="Normal"/>
        <w:rPr>
          <w:b/>
          <w:bCs/>
        </w:rPr>
      </w:pPr>
      <w:r>
        <w:rPr>
          <w:b/>
          <w:bCs/>
        </w:rPr>
        <w:t>PXAdm = $0.3064/kwh (as of June 10, 1998)</w:t>
      </w:r>
    </w:p>
    <w:p>
      <w:pPr>
        <w:pStyle w:val="Normal"/>
        <w:rPr>
          <w:b/>
          <w:bCs/>
        </w:rPr>
      </w:pPr>
      <w:r>
        <w:rPr>
          <w:b/>
          <w:bCs/>
        </w:rPr>
      </w:r>
    </w:p>
    <w:p>
      <w:pPr>
        <w:pStyle w:val="Normal"/>
        <w:rPr>
          <w:b/>
          <w:bCs/>
        </w:rPr>
      </w:pPr>
      <w:r>
        <w:rPr>
          <w:b/>
          <w:bCs/>
        </w:rPr>
        <w:t xml:space="preserve">GMC = $0.8300/kwh (as of January 1, 2000) </w:t>
      </w:r>
    </w:p>
    <w:p>
      <w:pPr>
        <w:pStyle w:val="Normal"/>
        <w:rPr>
          <w:b/>
          <w:bCs/>
        </w:rPr>
      </w:pPr>
      <w:r>
        <w:rPr>
          <w:b/>
          <w:bCs/>
        </w:rPr>
      </w:r>
    </w:p>
    <w:p>
      <w:pPr>
        <w:pStyle w:val="Normal"/>
        <w:rPr>
          <w:b/>
          <w:bCs/>
        </w:rPr>
      </w:pPr>
      <w:r>
        <w:rPr>
          <w:b/>
          <w:bCs/>
        </w:rPr>
        <w:t>Adj = Difference between the Settlement Cost for each hour and the FM cost</w:t>
      </w:r>
    </w:p>
    <w:p>
      <w:pPr>
        <w:pStyle w:val="Normal"/>
        <w:rPr>
          <w:b/>
          <w:bCs/>
        </w:rPr>
      </w:pPr>
      <w:r>
        <w:rPr>
          <w:b/>
          <w:bCs/>
        </w:rPr>
        <w:t>Adj (day n-91, hr) = [T (day n-91, hr) + PXRT Admin (day n-91, hr)] – [{FM (day n-91, hr) * FL (day n-91, hr)} / BL (day n, hr)]</w:t>
      </w:r>
    </w:p>
    <w:p>
      <w:pPr>
        <w:pStyle w:val="Normal"/>
        <w:rPr>
          <w:b/>
          <w:bCs/>
        </w:rPr>
      </w:pPr>
      <w:r>
        <w:rPr>
          <w:b/>
          <w:bCs/>
        </w:rPr>
      </w:r>
    </w:p>
    <w:p>
      <w:pPr>
        <w:pStyle w:val="Normal"/>
        <w:rPr>
          <w:b/>
          <w:bCs/>
        </w:rPr>
      </w:pPr>
      <w:r>
        <w:rPr>
          <w:b/>
          <w:bCs/>
        </w:rPr>
        <w:t>T = Total Settlement Charges ( includes ISO management, black-start capability, voltage support)</w:t>
      </w:r>
    </w:p>
    <w:p>
      <w:pPr>
        <w:pStyle w:val="Normal"/>
        <w:rPr>
          <w:b/>
          <w:bCs/>
        </w:rPr>
      </w:pPr>
      <w:r>
        <w:rPr>
          <w:b/>
          <w:bCs/>
        </w:rPr>
      </w:r>
    </w:p>
    <w:p>
      <w:pPr>
        <w:pStyle w:val="Normal"/>
        <w:rPr>
          <w:b/>
          <w:bCs/>
        </w:rPr>
      </w:pPr>
      <w:r>
        <w:rPr>
          <w:b/>
          <w:bCs/>
        </w:rPr>
        <w:t>FL = Final Settlment Load (MWh)</w:t>
      </w:r>
    </w:p>
    <w:p>
      <w:pPr>
        <w:pStyle w:val="Normal"/>
        <w:rPr>
          <w:b/>
          <w:bCs/>
        </w:rPr>
      </w:pPr>
      <w:r>
        <w:rPr>
          <w:b/>
          <w:bCs/>
        </w:rPr>
      </w:r>
    </w:p>
    <w:p>
      <w:pPr>
        <w:pStyle w:val="Normal"/>
        <w:rPr>
          <w:b/>
          <w:bCs/>
        </w:rPr>
      </w:pPr>
      <w:r>
        <w:rPr>
          <w:b/>
          <w:bCs/>
        </w:rPr>
        <w:t>BL = Bid Load (Mwh)</w:t>
      </w:r>
    </w:p>
    <w:p>
      <w:pPr>
        <w:pStyle w:val="Normal"/>
        <w:rPr>
          <w:b/>
          <w:bCs/>
        </w:rPr>
      </w:pPr>
      <w:r>
        <w:rPr>
          <w:b/>
          <w:bCs/>
        </w:rPr>
      </w:r>
    </w:p>
    <w:p>
      <w:pPr>
        <w:pStyle w:val="Normal"/>
        <w:rPr>
          <w:b/>
          <w:bCs/>
        </w:rPr>
      </w:pPr>
      <w:r>
        <w:rPr>
          <w:b/>
          <w:bCs/>
        </w:rPr>
        <w:t>PXRTAdmin = Estimated positive deviation in metered load relative to day ahead load multiplied by $0.3038</w:t>
      </w:r>
    </w:p>
    <w:p>
      <w:pPr>
        <w:pStyle w:val="Normal"/>
        <w:rPr>
          <w:b/>
          <w:bCs/>
        </w:rPr>
      </w:pPr>
      <w:r>
        <w:rPr>
          <w:b/>
          <w:bCs/>
        </w:rPr>
      </w:r>
    </w:p>
    <w:p>
      <w:pPr>
        <w:pStyle w:val="Normal"/>
        <w:rPr>
          <w:b/>
          <w:bCs/>
        </w:rPr>
      </w:pPr>
      <w:r>
        <w:rPr>
          <w:b/>
          <w:bCs/>
        </w:rPr>
        <w:t xml:space="preserve">PSA = Post Real Time Settlement Adjustment </w:t>
      </w:r>
    </w:p>
    <w:p>
      <w:pPr>
        <w:pStyle w:val="Normal"/>
        <w:rPr>
          <w:b/>
          <w:bCs/>
        </w:rPr>
      </w:pPr>
      <w:r>
        <w:rPr>
          <w:b/>
          <w:bCs/>
        </w:rPr>
        <w:t>PSA = (PSA$ accrued / totaldays month) / DL givenday</w:t>
      </w:r>
    </w:p>
    <w:p>
      <w:pPr>
        <w:pStyle w:val="Normal"/>
        <w:rPr>
          <w:b/>
          <w:bCs/>
        </w:rPr>
      </w:pPr>
      <w:r>
        <w:rPr>
          <w:b/>
          <w:bCs/>
        </w:rPr>
      </w:r>
    </w:p>
    <w:p>
      <w:pPr>
        <w:pStyle w:val="Normal"/>
        <w:rPr>
          <w:b/>
          <w:bCs/>
        </w:rPr>
      </w:pPr>
      <w:r>
        <w:rPr>
          <w:b/>
          <w:bCs/>
        </w:rPr>
        <w:t>DL = Daily Scheduled Loads</w:t>
      </w:r>
    </w:p>
    <w:p>
      <w:pPr>
        <w:pStyle w:val="Normal"/>
        <w:rPr>
          <w:b/>
          <w:bCs/>
        </w:rPr>
      </w:pPr>
      <w:r>
        <w:rPr>
          <w:b/>
          <w:bCs/>
        </w:rPr>
      </w:r>
    </w:p>
    <w:p>
      <w:pPr>
        <w:pStyle w:val="Normal"/>
        <w:rPr>
          <w:b/>
          <w:bCs/>
        </w:rPr>
      </w:pPr>
      <w:r>
        <w:rPr>
          <w:b/>
          <w:bCs/>
        </w:rPr>
        <w:t>RT Est Adj = Adjustment for Estimated Real Time Settlement Costs</w:t>
      </w:r>
    </w:p>
    <w:p>
      <w:pPr>
        <w:pStyle w:val="Normal"/>
        <w:rPr>
          <w:b/>
          <w:bCs/>
        </w:rPr>
      </w:pPr>
      <w:r>
        <w:rPr>
          <w:b/>
          <w:bCs/>
        </w:rPr>
        <w:t>RT Est Adj (day n-7, hr) = Est RT$ (day n-7, hr) / Est FL (day n, hr)</w:t>
      </w:r>
    </w:p>
    <w:p>
      <w:pPr>
        <w:pStyle w:val="Normal"/>
        <w:rPr>
          <w:b/>
          <w:bCs/>
        </w:rPr>
      </w:pPr>
      <w:r>
        <w:rPr>
          <w:b/>
          <w:bCs/>
        </w:rPr>
      </w:r>
    </w:p>
    <w:p>
      <w:pPr>
        <w:pStyle w:val="Header"/>
        <w:tabs>
          <w:tab w:val="clear" w:pos="4320"/>
          <w:tab w:val="clear" w:pos="8640"/>
        </w:tabs>
        <w:rPr/>
      </w:pPr>
      <w:r>
        <w:rPr>
          <w:b/>
          <w:bCs/>
        </w:rPr>
        <w:t>DLF</w:t>
      </w:r>
      <w:r>
        <w:rPr/>
        <w:t xml:space="preserve"> = the distribution loss factor defines three distinct hourly PX prices – </w:t>
      </w:r>
    </w:p>
    <w:p>
      <w:pPr>
        <w:pStyle w:val="Header"/>
        <w:tabs>
          <w:tab w:val="clear" w:pos="4320"/>
          <w:tab w:val="clear" w:pos="8640"/>
        </w:tabs>
        <w:ind w:firstLine="720" w:end="0"/>
        <w:rPr/>
      </w:pPr>
      <w:r>
        <w:rPr/>
        <w:t>(T) Transmission Voltage, (P) Primary Voltage, (S) Secondary Voltage.</w:t>
      </w:r>
    </w:p>
    <w:p>
      <w:pPr>
        <w:pStyle w:val="Normal"/>
        <w:rPr>
          <w:b/>
          <w:bCs/>
        </w:rPr>
      </w:pPr>
      <w:r>
        <w:rPr>
          <w:b/>
          <w:bCs/>
        </w:rPr>
      </w:r>
    </w:p>
    <w:p>
      <w:pPr>
        <w:pStyle w:val="Normal"/>
        <w:rPr>
          <w:b/>
          <w:bCs/>
        </w:rPr>
      </w:pPr>
      <w:r>
        <w:rPr>
          <w:b/>
          <w:bCs/>
        </w:rPr>
        <w:t>U = 1.003396 (as of March 1, 2000)</w:t>
      </w:r>
    </w:p>
    <w:sectPr>
      <w:headerReference w:type="default" r:id="rId2"/>
      <w:footnotePr>
        <w:numFmt w:val="decimal"/>
      </w:footnotePr>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 xml:space="preserve">The subscript "day n, hr" denotes that this calculation is performed for each hour of day "n". </w:t>
        <w:b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bCs/>
        <w:sz w:val="28"/>
      </w:rPr>
    </w:pPr>
    <w:r>
      <w:rPr>
        <w:b/>
        <w:bCs/>
        <w:sz w:val="28"/>
      </w:rPr>
      <w:t>Pacific Gas &amp; Electric PX Credit Calculation</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1146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2001-11-13T16:48:00Z</dcterms:created>
  <dc:creator>jsteffe</dc:creator>
  <dc:description/>
  <dc:language>en-CA</dc:language>
  <cp:lastModifiedBy>jsteffe</cp:lastModifiedBy>
  <dcterms:modified xsi:type="dcterms:W3CDTF">2001-11-14T12:45:00Z</dcterms:modified>
  <cp:revision>5</cp:revision>
  <dc:subject/>
  <dc:title>On April 17,2000, PG&amp;E began including an adjustment for estimated real-time settlement costs in the hourly PX price calculati</dc:title>
</cp:coreProperties>
</file>