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Cs w:val="24"/>
        </w:rPr>
      </w:pPr>
      <w:r>
        <w:rPr>
          <w:b/>
          <w:bCs/>
          <w:szCs w:val="24"/>
        </w:rPr>
      </w:r>
    </w:p>
    <w:p>
      <w:pPr>
        <w:pStyle w:val="Normal"/>
        <w:jc w:val="center"/>
        <w:rPr>
          <w:b/>
          <w:bCs/>
          <w:szCs w:val="24"/>
        </w:rPr>
      </w:pPr>
      <w:r>
        <w:rPr>
          <w:b/>
          <w:bCs/>
          <w:szCs w:val="24"/>
        </w:rPr>
      </w:r>
    </w:p>
    <w:p>
      <w:pPr>
        <w:pStyle w:val="Normal"/>
        <w:jc w:val="center"/>
        <w:rPr>
          <w:b/>
          <w:bCs/>
          <w:sz w:val="24"/>
          <w:szCs w:val="24"/>
        </w:rPr>
      </w:pPr>
      <w:r>
        <w:rPr>
          <w:b/>
          <w:bCs/>
          <w:sz w:val="24"/>
          <w:szCs w:val="24"/>
        </w:rPr>
        <w:t>BEFORE THE</w:t>
      </w:r>
    </w:p>
    <w:p>
      <w:pPr>
        <w:pStyle w:val="Normal"/>
        <w:jc w:val="center"/>
        <w:rPr>
          <w:b/>
          <w:bCs/>
          <w:sz w:val="24"/>
          <w:szCs w:val="24"/>
        </w:rPr>
      </w:pPr>
      <w:r>
        <w:rPr>
          <w:b/>
          <w:bCs/>
          <w:sz w:val="24"/>
          <w:szCs w:val="24"/>
        </w:rPr>
        <w:t>PUBLIC UTILITIES COMMISSION OF</w:t>
      </w:r>
    </w:p>
    <w:p>
      <w:pPr>
        <w:pStyle w:val="Normal"/>
        <w:jc w:val="center"/>
        <w:rPr>
          <w:b/>
          <w:bCs/>
          <w:sz w:val="24"/>
          <w:szCs w:val="24"/>
        </w:rPr>
      </w:pPr>
      <w:r>
        <w:rPr>
          <w:b/>
          <w:bCs/>
          <w:sz w:val="24"/>
          <w:szCs w:val="24"/>
        </w:rPr>
        <w:t>THE STATE OF CALIFORNIA</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t>Application of the Pacific Gas &amp; Electric Company</w:t>
        <w:tab/>
        <w:t>)</w:t>
      </w:r>
    </w:p>
    <w:p>
      <w:pPr>
        <w:pStyle w:val="Normal"/>
        <w:rPr>
          <w:sz w:val="24"/>
          <w:szCs w:val="24"/>
        </w:rPr>
      </w:pPr>
      <w:r>
        <w:rPr>
          <w:sz w:val="24"/>
          <w:szCs w:val="24"/>
        </w:rPr>
        <w:t>For Approval of Open Season Procedures for</w:t>
        <w:tab/>
        <w:t>)</w:t>
        <w:tab/>
        <w:tab/>
        <w:t>Application 01-06-020</w:t>
      </w:r>
    </w:p>
    <w:p>
      <w:pPr>
        <w:pStyle w:val="Normal"/>
        <w:rPr>
          <w:sz w:val="24"/>
          <w:szCs w:val="24"/>
        </w:rPr>
      </w:pPr>
      <w:r>
        <w:rPr>
          <w:sz w:val="24"/>
          <w:szCs w:val="24"/>
        </w:rPr>
        <w:t>Awarding Firm Capacity on its Transmission</w:t>
        <w:tab/>
        <w:t>)</w:t>
        <w:tab/>
      </w:r>
    </w:p>
    <w:p>
      <w:pPr>
        <w:pStyle w:val="Normal"/>
        <w:rPr/>
      </w:pPr>
      <w:r>
        <w:rPr>
          <w:sz w:val="24"/>
          <w:szCs w:val="24"/>
          <w:u w:val="single"/>
        </w:rPr>
        <w:t>Facilities.</w:t>
        <w:tab/>
        <w:tab/>
        <w:tab/>
        <w:tab/>
        <w:tab/>
        <w:tab/>
      </w:r>
      <w:r>
        <w:rPr>
          <w:sz w:val="24"/>
          <w:szCs w:val="24"/>
        </w:rPr>
        <w:t>)</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center"/>
        <w:rPr>
          <w:b/>
          <w:bCs/>
          <w:sz w:val="24"/>
          <w:szCs w:val="24"/>
        </w:rPr>
      </w:pPr>
      <w:r>
        <w:rPr>
          <w:b/>
          <w:bCs/>
          <w:sz w:val="24"/>
          <w:szCs w:val="24"/>
        </w:rPr>
        <w:t xml:space="preserve">COMMENTS OF </w:t>
      </w:r>
    </w:p>
    <w:p>
      <w:pPr>
        <w:pStyle w:val="Normal"/>
        <w:jc w:val="center"/>
        <w:rPr>
          <w:b/>
          <w:bCs/>
          <w:sz w:val="24"/>
          <w:szCs w:val="24"/>
        </w:rPr>
      </w:pPr>
      <w:r>
        <w:rPr>
          <w:b/>
          <w:bCs/>
          <w:sz w:val="24"/>
          <w:szCs w:val="24"/>
        </w:rPr>
        <w:t>PANCANADIAN ENERGY SERVICES, INC.</w:t>
      </w:r>
    </w:p>
    <w:p>
      <w:pPr>
        <w:pStyle w:val="Normal"/>
        <w:spacing w:lineRule="atLeast" w:line="360"/>
        <w:jc w:val="center"/>
        <w:rPr>
          <w:b/>
          <w:bCs/>
          <w:sz w:val="24"/>
          <w:szCs w:val="24"/>
        </w:rPr>
      </w:pPr>
      <w:r>
        <w:rPr>
          <w:b/>
          <w:bCs/>
          <w:sz w:val="24"/>
          <w:szCs w:val="24"/>
        </w:rPr>
      </w:r>
    </w:p>
    <w:p>
      <w:pPr>
        <w:pStyle w:val="Normal"/>
        <w:spacing w:lineRule="auto" w:line="360"/>
        <w:rPr/>
      </w:pPr>
      <w:r>
        <w:rPr>
          <w:b/>
          <w:bCs/>
          <w:sz w:val="24"/>
          <w:szCs w:val="24"/>
        </w:rPr>
        <w:tab/>
      </w:r>
      <w:r>
        <w:rPr>
          <w:sz w:val="24"/>
          <w:szCs w:val="24"/>
        </w:rPr>
        <w:t>Pursuant to the procedural ruling of Presiding Administrative Law Judge Carol Brown of June 14, 2001,</w:t>
      </w:r>
      <w:r>
        <w:rPr>
          <w:b/>
          <w:bCs/>
          <w:sz w:val="24"/>
          <w:szCs w:val="24"/>
        </w:rPr>
        <w:t xml:space="preserve"> </w:t>
      </w:r>
      <w:r>
        <w:rPr>
          <w:sz w:val="24"/>
          <w:szCs w:val="24"/>
        </w:rPr>
        <w:t>PanCanadian Energy Services, Inc. (“PCES”), an active participant in the northern California natural gas market, hereby submits its initial comments on the above-captioned application.</w:t>
      </w:r>
    </w:p>
    <w:p>
      <w:pPr>
        <w:pStyle w:val="Normal"/>
        <w:spacing w:lineRule="atLeast" w:line="480"/>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t xml:space="preserve">PCES is a natural gas marketing and energy services company based in Houston, Texas, and has been active in California markets for several years.  PCES supplies natural gas primarily to noncore customers, and provides other energy-related services.  In performing these services, PCES uses interstate gas transmission capacity it has acquired to move natural gas to the California border.  Within California, PCES utilizes intrastate transmission and distribution services over the systems of Pacific Gas &amp; Electric Company (“PG&amp;E”) and, to a lesser extent, Southern California Gas Company (“SoCalGas”).  PCES is a wholly owned subsidiary of PanCanadian Petroleum Ltd., a major producer of petroleum and natural gas headquartered in Calgary, Alberta, which supplies a significant amount of natural gas to the California market through PCES.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t>PG&amp;E seeks urgent consideration and approval of its Application on the grounds that other interstate pipelines are offering shippers expansion capacity to and potentially into California, and PG&amp;E wants its customers to “compare PG&amp;E’s service and indicative rates to those being offered by those other competing pipelines.”  Application at p. 2.   By scheduling this application for such rapid comment and reply comment – almost too rapid to allow serious consideration of the issues, and faster even than the utility requested – the Commission appears ready to accede to PG&amp;E’s sense of urgency.  Such a hurry-up open-season with such outstanding unknowns relative to critical aspects of the rates and the capacity being offered could be perceived instead as an attempt to preempt potential competition from other pipelines, if any, by forcing existing customers to take long-term commitments to PG&amp;E’s capacity now or risk having no capacity at all in the event the other pipelines are not in fact built.  PG&amp;E states that it “only seeks an opportunity to compete with these projects on a level-playing field.” Application at pp. 1-2.  However, PG&amp;E also trots out the standard threat that allowing such competing pipelines to come into California could lead to “uneconomic decisions” made by shippers that would be “harmful to PG&amp;E’s remaining intrastate customers.”  PG&amp;E’s stated desire for a level playing field needs to be viewed in the context of its desire to have this Commission’s support.  The Commission should examine carefully before approving this open-season process the implications for a competitive natural gas market in California.  The Commission should also be aware that its approval of this open season process may well be perceived as aligning the Commission in favor of PG&amp;E’s competitive entry and against all other pipelines.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t xml:space="preserve">PCES’ primary substantive reaction to the open-season proposal is that PG&amp;E’s proposal leaves critical elements of its services and rates wholly uncertain even while PG&amp;E nonetheless asks its customers to make binding and long-term commitments.  Among the critical uncertainties are the rates and rate design that will prevail on PG&amp;E’s transmission system and its different paths, as well as the amount of capacity that will ultimately be available.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t xml:space="preserve">The “indicative rates” that PG&amp;E proposes in its Application are not rates that open-season respondents can have any confidence will actually be effective over any part of the term of the commitment PG&amp;E asks them to make.  These rates are yet to be proposed by PG&amp;E in its Gas Accord II filing “in the near future,” much less approved by the Commission.  The “indicative rates” propose disparities among the various transmission paths that perpetuate discrimination against shippers on the Redwood Path and in favor of shippers on the Baja Path.  This discrimination is likely to be a heavily contested issue in the Gas Accord II process, because the gas market situation continues to evolve from the situation that prevailed when such discriminatory rate treatment was first adopted by settlement, and because there is no cost basis for such discrimination – the rates are premised on system-wide load factors, not path-specific load factors.  The outcome of PG&amp;E’s Gas Accord II proceeding, when known sometime next year, could have a profound difference in the relative value of capacity on various paths, yet PG&amp;E asks Commission approval of an open-season process to lock-in shipper commitment for up to fifteen years before even filing this proceeding.  What is more, PG&amp;E could then argue that the willingness of shippers to sign firm contracts in its open season in the face of such promised rate discrimination  means that such discrimination is acceptable to the market and should therefore be acceptable to the Commission.   Since existing capacity rights do not expire until the end of 2002, PCES questions the need to rush forward now with new commitments to take effect after that time, since all parties will in coming months have much better information about the value of such capacity in time to make more informed yet still timely commitments.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pPr>
      <w:r>
        <w:rPr>
          <w:sz w:val="24"/>
        </w:rPr>
        <w:t xml:space="preserve">PG&amp;E indicates that it has reserved capacity for service to core customers and pre-existing long-term contract commitments, and then proposes to reserve another 20% of the remaining capacity for “a future open season.”  Application at p. 2.   This reservation is unexplained, and begs an explanation.  One could speculate that it is related to the uncertainty created by PG&amp;E’s inclusion in the Redwood Path capacity of 200 MDth/day of capacity it plans to add during 2002.  However, this Redwood expansion roughly matches an upstream capacity expansion  that PG&amp;E’s wholly-owned interstate pipeline affiliate, PG&amp;E Gas Transmission – Northwest (“GTN”), has proposed to the Federal Energy Regulatory Commission in Docket CP01-141, for which an open season was conducted earlier this year.  And the 20% reservation is not confined to the Redwood Path, but applies to all the paths.  Reducing the potentially available capacity offered in this open season would be expected to increase the demand – and therefore the rate tolerance and term tolerance of bidders – for the capacity that </w:t>
      </w:r>
      <w:r>
        <w:rPr>
          <w:b/>
          <w:bCs/>
          <w:sz w:val="24"/>
        </w:rPr>
        <w:t>is</w:t>
      </w:r>
      <w:r>
        <w:rPr>
          <w:sz w:val="24"/>
        </w:rPr>
        <w:t xml:space="preserve"> made available.  However, parceling out capacity in a series of separate open seasons for the purpose of manipulating the market to support the value of capacity is not necessarily a practice the Commission should condone on the part of its regulated utilities.  PCES therefore recommends that the Commission not approve this open-season application without a full and acceptable justification of this 20% capacity reservation.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t>PCES notes that PG&amp;E’s Application does improve upon the prior open season with respect to the cogenerator parity entitlement to match PG&amp;E’s Utility Electric Generation bid under the Public Utility Code.  It does so by requiring PG&amp;E’s UEG to bid earlier than other bidders, and allowing all other parties as well as cogenerators to react if necessary to the amount and terms bid by the UEG.  This is an appropriate way to reflect the changes in PG&amp;E’s generation mix and in the electricity market for the purposes of this open season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r>
    </w:p>
    <w:p>
      <w:pPr>
        <w:pStyle w:val="BodyTextIndent"/>
        <w:spacing w:lineRule="auto" w:line="360"/>
        <w:rPr/>
      </w:pPr>
      <w:r>
        <w:rPr/>
        <w:t xml:space="preserve">In conclusion, PCES has serious reservations about the panicky schedule proposed in this open season, its competitive motivations, its relationship to yet-to-be-addressed issues of transmission rate equity, and its significant and unexplained reservation of capacity for future purposes.  PCES looks forward to PG&amp;E’s own more detailed explanation of its proposal and to the initial comments of other parties.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sz w:val="24"/>
        </w:rPr>
      </w:pPr>
      <w:r>
        <w:rPr>
          <w:sz w:val="24"/>
        </w:rPr>
      </w:r>
    </w:p>
    <w:p>
      <w:pPr>
        <w:pStyle w:val="Normal"/>
        <w:rPr>
          <w:sz w:val="24"/>
          <w:szCs w:val="24"/>
        </w:rPr>
      </w:pPr>
      <w:r>
        <w:rPr>
          <w:sz w:val="24"/>
          <w:szCs w:val="24"/>
        </w:rPr>
        <w:tab/>
      </w:r>
    </w:p>
    <w:p>
      <w:pPr>
        <w:pStyle w:val="Normal"/>
        <w:rPr>
          <w:sz w:val="24"/>
          <w:szCs w:val="24"/>
        </w:rPr>
      </w:pPr>
      <w:r>
        <w:rPr>
          <w:sz w:val="24"/>
          <w:szCs w:val="24"/>
        </w:rPr>
        <w:tab/>
      </w:r>
    </w:p>
    <w:p>
      <w:pPr>
        <w:pStyle w:val="Normal"/>
        <w:rPr>
          <w:sz w:val="24"/>
          <w:szCs w:val="24"/>
        </w:rPr>
      </w:pPr>
      <w:r>
        <w:rPr>
          <w:sz w:val="24"/>
          <w:szCs w:val="24"/>
        </w:rPr>
        <w:tab/>
        <w:tab/>
        <w:tab/>
        <w:tab/>
        <w:tab/>
        <w:tab/>
        <w:t>Respectfully submitted,</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ab/>
        <w:tab/>
        <w:tab/>
        <w:tab/>
        <w:tab/>
        <w:tab/>
        <w:t>John W. Jimison, Esq.</w:t>
      </w:r>
    </w:p>
    <w:p>
      <w:pPr>
        <w:pStyle w:val="Normal"/>
        <w:rPr>
          <w:sz w:val="24"/>
          <w:szCs w:val="24"/>
        </w:rPr>
      </w:pPr>
      <w:r>
        <w:rPr>
          <w:sz w:val="24"/>
          <w:szCs w:val="24"/>
        </w:rPr>
        <w:tab/>
        <w:tab/>
        <w:tab/>
        <w:tab/>
        <w:tab/>
        <w:tab/>
        <w:t>Berliner, Candon &amp; Jimison, P.C.</w:t>
      </w:r>
    </w:p>
    <w:p>
      <w:pPr>
        <w:pStyle w:val="Normal"/>
        <w:rPr>
          <w:sz w:val="24"/>
          <w:szCs w:val="24"/>
        </w:rPr>
      </w:pPr>
      <w:r>
        <w:rPr>
          <w:sz w:val="24"/>
          <w:szCs w:val="24"/>
        </w:rPr>
        <w:tab/>
        <w:tab/>
        <w:tab/>
        <w:tab/>
        <w:tab/>
        <w:tab/>
        <w:t>1225 19th Street, N.W., Suite 800</w:t>
      </w:r>
    </w:p>
    <w:p>
      <w:pPr>
        <w:pStyle w:val="Normal"/>
        <w:rPr>
          <w:sz w:val="24"/>
          <w:szCs w:val="24"/>
        </w:rPr>
      </w:pPr>
      <w:r>
        <w:rPr>
          <w:sz w:val="24"/>
          <w:szCs w:val="24"/>
        </w:rPr>
        <w:tab/>
        <w:tab/>
        <w:tab/>
        <w:tab/>
        <w:tab/>
        <w:tab/>
        <w:t>Washington, D.C. 20036</w:t>
      </w:r>
    </w:p>
    <w:p>
      <w:pPr>
        <w:pStyle w:val="Normal"/>
        <w:rPr>
          <w:sz w:val="24"/>
          <w:szCs w:val="24"/>
        </w:rPr>
      </w:pPr>
      <w:r>
        <w:rPr>
          <w:sz w:val="24"/>
          <w:szCs w:val="24"/>
        </w:rPr>
      </w:r>
    </w:p>
    <w:p>
      <w:pPr>
        <w:pStyle w:val="Normal"/>
        <w:rPr>
          <w:sz w:val="24"/>
          <w:szCs w:val="24"/>
        </w:rPr>
      </w:pPr>
      <w:r>
        <w:rPr>
          <w:sz w:val="24"/>
          <w:szCs w:val="24"/>
        </w:rPr>
        <w:tab/>
        <w:tab/>
        <w:tab/>
        <w:tab/>
        <w:tab/>
        <w:tab/>
        <w:t>Attorney for</w:t>
      </w:r>
    </w:p>
    <w:p>
      <w:pPr>
        <w:pStyle w:val="Normal"/>
        <w:rPr/>
      </w:pPr>
      <w:r>
        <w:rPr>
          <w:sz w:val="24"/>
          <w:szCs w:val="24"/>
        </w:rPr>
        <w:tab/>
        <w:tab/>
        <w:tab/>
        <w:tab/>
        <w:tab/>
        <w:tab/>
      </w:r>
      <w:r>
        <w:rPr>
          <w:b/>
          <w:bCs/>
          <w:sz w:val="24"/>
          <w:szCs w:val="24"/>
        </w:rPr>
        <w:t>PanCanadian Energy Services, Inc.</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spacing w:lineRule="auto" w:line="360"/>
        <w:rPr>
          <w:b/>
          <w:bCs/>
          <w:sz w:val="24"/>
          <w:szCs w:val="24"/>
        </w:rPr>
      </w:pPr>
      <w:r>
        <w:rPr>
          <w:b/>
          <w:bCs/>
          <w:sz w:val="24"/>
          <w:szCs w:val="24"/>
        </w:rPr>
      </w:r>
    </w:p>
    <w:p>
      <w:pPr>
        <w:pStyle w:val="Heading1"/>
        <w:ind w:hanging="0" w:start="0"/>
        <w:rPr/>
      </w:pPr>
      <w:r>
        <w:rPr/>
        <w:t>June 20, 2001</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9">
              <wp:simplePos x="0" y="0"/>
              <wp:positionH relativeFrom="page">
                <wp:posOffset>3521075</wp:posOffset>
              </wp:positionH>
              <wp:positionV relativeFrom="page">
                <wp:posOffset>457835</wp:posOffset>
              </wp:positionV>
              <wp:extent cx="365760"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Head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36.05pt;mso-position-vertical-relative:page;margin-left:277.25pt;mso-position-horizontal-relative:page">
              <v:fill opacity="0f"/>
              <v:textbox inset="0in,0in,0in,0in">
                <w:txbxContent>
                  <w:p>
                    <w:pPr>
                      <w:pStyle w:val="Header"/>
                      <w:jc w:val="cent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sz w:val="24"/>
    </w:rPr>
  </w:style>
  <w:style w:type="character" w:styleId="WW8Num1z0">
    <w:name w:val="WW8Num1z0"/>
    <w:qFormat/>
    <w:rPr>
      <w:rFonts w:ascii="WP MathA" w:hAnsi="WP MathA" w:cs="WP MathA"/>
    </w:rPr>
  </w:style>
  <w:style w:type="character" w:styleId="WW8Num3z0">
    <w:name w:val="WW8Num3z0"/>
    <w:qFormat/>
    <w:rPr>
      <w:rFonts w:ascii="WP MathA" w:hAnsi="WP MathA" w:cs="WP MathA"/>
    </w:rPr>
  </w:style>
  <w:style w:type="character" w:styleId="WW8Num6z0">
    <w:name w:val="WW8Num6z0"/>
    <w:qFormat/>
    <w:rPr>
      <w:rFonts w:ascii="WP MathA" w:hAnsi="WP MathA" w:cs="WP MathA"/>
    </w:rPr>
  </w:style>
  <w:style w:type="character" w:styleId="WW8Num7z0">
    <w:name w:val="WW8Num7z0"/>
    <w:qFormat/>
    <w:rPr>
      <w:rFonts w:ascii="WP MathA" w:hAnsi="WP MathA" w:cs="WP MathA"/>
    </w:rPr>
  </w:style>
  <w:style w:type="character" w:styleId="WW8Num11z0">
    <w:name w:val="WW8Num11z0"/>
    <w:qFormat/>
    <w:rPr>
      <w:rFonts w:ascii="WP MathA" w:hAnsi="WP MathA" w:cs="WP MathA"/>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4">
    <w:name w:val="1AutoList4"/>
    <w:qFormat/>
    <w:pPr>
      <w:widowControl w:val="false"/>
      <w:tabs>
        <w:tab w:val="left" w:pos="720" w:leader="none"/>
      </w:tabs>
      <w:autoSpaceDE w:val="false"/>
      <w:bidi w:val="0"/>
      <w:ind w:hanging="720" w:start="720" w:end="0"/>
      <w:jc w:val="both"/>
    </w:pPr>
    <w:rPr>
      <w:rFonts w:ascii="Times New Roman" w:hAnsi="Times New Roman" w:eastAsia="Times New Roman" w:cs="Times New Roman"/>
      <w:color w:val="auto"/>
      <w:sz w:val="20"/>
      <w:szCs w:val="24"/>
      <w:lang w:val="en-US" w:bidi="ar-SA" w:eastAsia="zh-CN"/>
    </w:rPr>
  </w:style>
  <w:style w:type="paragraph" w:styleId="2AutoList4">
    <w:name w:val="2AutoList4"/>
    <w:qFormat/>
    <w:pPr>
      <w:widowControl w:val="false"/>
      <w:tabs>
        <w:tab w:val="left" w:pos="720" w:leader="none"/>
        <w:tab w:val="left" w:pos="1440" w:leader="none"/>
      </w:tabs>
      <w:autoSpaceDE w:val="false"/>
      <w:bidi w:val="0"/>
      <w:ind w:hanging="720" w:start="1440" w:end="0"/>
      <w:jc w:val="both"/>
    </w:pPr>
    <w:rPr>
      <w:rFonts w:ascii="Times New Roman" w:hAnsi="Times New Roman" w:eastAsia="Times New Roman" w:cs="Times New Roman"/>
      <w:color w:val="auto"/>
      <w:sz w:val="20"/>
      <w:szCs w:val="24"/>
      <w:lang w:val="en-US" w:bidi="ar-SA" w:eastAsia="zh-CN"/>
    </w:rPr>
  </w:style>
  <w:style w:type="paragraph" w:styleId="3AutoList4">
    <w:name w:val="3AutoList4"/>
    <w:qFormat/>
    <w:pPr>
      <w:widowControl w:val="false"/>
      <w:tabs>
        <w:tab w:val="left" w:pos="720" w:leader="none"/>
        <w:tab w:val="left" w:pos="1440" w:leader="none"/>
        <w:tab w:val="left" w:pos="2160" w:leader="none"/>
      </w:tabs>
      <w:autoSpaceDE w:val="false"/>
      <w:bidi w:val="0"/>
      <w:ind w:hanging="720" w:start="2160" w:end="0"/>
      <w:jc w:val="both"/>
    </w:pPr>
    <w:rPr>
      <w:rFonts w:ascii="Times New Roman" w:hAnsi="Times New Roman" w:eastAsia="Times New Roman" w:cs="Times New Roman"/>
      <w:color w:val="auto"/>
      <w:sz w:val="20"/>
      <w:szCs w:val="24"/>
      <w:lang w:val="en-US" w:bidi="ar-SA" w:eastAsia="zh-CN"/>
    </w:rPr>
  </w:style>
  <w:style w:type="paragraph" w:styleId="4AutoList4">
    <w:name w:val="4AutoList4"/>
    <w:qFormat/>
    <w:pPr>
      <w:widowControl w:val="false"/>
      <w:tabs>
        <w:tab w:val="left" w:pos="720" w:leader="none"/>
        <w:tab w:val="left" w:pos="1440" w:leader="none"/>
        <w:tab w:val="left" w:pos="2160" w:leader="none"/>
        <w:tab w:val="left" w:pos="2880" w:leader="none"/>
      </w:tabs>
      <w:autoSpaceDE w:val="false"/>
      <w:bidi w:val="0"/>
      <w:ind w:hanging="720" w:start="2880" w:end="0"/>
      <w:jc w:val="both"/>
    </w:pPr>
    <w:rPr>
      <w:rFonts w:ascii="Times New Roman" w:hAnsi="Times New Roman" w:eastAsia="Times New Roman" w:cs="Times New Roman"/>
      <w:color w:val="auto"/>
      <w:sz w:val="20"/>
      <w:szCs w:val="24"/>
      <w:lang w:val="en-US" w:bidi="ar-SA" w:eastAsia="zh-CN"/>
    </w:rPr>
  </w:style>
  <w:style w:type="paragraph" w:styleId="5AutoList4">
    <w:name w:val="5AutoList4"/>
    <w:qFormat/>
    <w:pPr>
      <w:widowControl w:val="false"/>
      <w:tabs>
        <w:tab w:val="left" w:pos="720" w:leader="none"/>
        <w:tab w:val="left" w:pos="1440" w:leader="none"/>
        <w:tab w:val="left" w:pos="2160" w:leader="none"/>
        <w:tab w:val="left" w:pos="2880" w:leader="none"/>
        <w:tab w:val="left" w:pos="3600" w:leader="none"/>
      </w:tabs>
      <w:autoSpaceDE w:val="false"/>
      <w:bidi w:val="0"/>
      <w:ind w:hanging="720" w:start="3600" w:end="0"/>
      <w:jc w:val="both"/>
    </w:pPr>
    <w:rPr>
      <w:rFonts w:ascii="Times New Roman" w:hAnsi="Times New Roman" w:eastAsia="Times New Roman" w:cs="Times New Roman"/>
      <w:color w:val="auto"/>
      <w:sz w:val="20"/>
      <w:szCs w:val="24"/>
      <w:lang w:val="en-US" w:bidi="ar-SA" w:eastAsia="zh-CN"/>
    </w:rPr>
  </w:style>
  <w:style w:type="paragraph" w:styleId="6AutoList4">
    <w:name w:val="6AutoList4"/>
    <w:qFormat/>
    <w:pPr>
      <w:widowControl w:val="false"/>
      <w:tabs>
        <w:tab w:val="left" w:pos="720" w:leader="none"/>
        <w:tab w:val="left" w:pos="1440" w:leader="none"/>
        <w:tab w:val="left" w:pos="2160" w:leader="none"/>
        <w:tab w:val="left" w:pos="2880" w:leader="none"/>
        <w:tab w:val="left" w:pos="3600" w:leader="none"/>
        <w:tab w:val="left" w:pos="4320" w:leader="none"/>
      </w:tabs>
      <w:autoSpaceDE w:val="false"/>
      <w:bidi w:val="0"/>
      <w:ind w:hanging="720" w:start="4320" w:end="0"/>
      <w:jc w:val="both"/>
    </w:pPr>
    <w:rPr>
      <w:rFonts w:ascii="Times New Roman" w:hAnsi="Times New Roman" w:eastAsia="Times New Roman" w:cs="Times New Roman"/>
      <w:color w:val="auto"/>
      <w:sz w:val="20"/>
      <w:szCs w:val="24"/>
      <w:lang w:val="en-US" w:bidi="ar-SA" w:eastAsia="zh-CN"/>
    </w:rPr>
  </w:style>
  <w:style w:type="paragraph" w:styleId="7AutoList4">
    <w:name w:val="7AutoList4"/>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autoSpaceDE w:val="false"/>
      <w:bidi w:val="0"/>
      <w:ind w:hanging="720" w:start="5040" w:end="0"/>
      <w:jc w:val="both"/>
    </w:pPr>
    <w:rPr>
      <w:rFonts w:ascii="Times New Roman" w:hAnsi="Times New Roman" w:eastAsia="Times New Roman" w:cs="Times New Roman"/>
      <w:color w:val="auto"/>
      <w:sz w:val="20"/>
      <w:szCs w:val="24"/>
      <w:lang w:val="en-US" w:bidi="ar-SA" w:eastAsia="zh-CN"/>
    </w:rPr>
  </w:style>
  <w:style w:type="paragraph" w:styleId="8AutoList4">
    <w:name w:val="8AutoList4"/>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autoSpaceDE w:val="false"/>
      <w:bidi w:val="0"/>
      <w:ind w:hanging="720" w:start="5760" w:end="0"/>
      <w:jc w:val="both"/>
    </w:pPr>
    <w:rPr>
      <w:rFonts w:ascii="Times New Roman" w:hAnsi="Times New Roman" w:eastAsia="Times New Roman" w:cs="Times New Roman"/>
      <w:color w:val="auto"/>
      <w:sz w:val="20"/>
      <w:szCs w:val="24"/>
      <w:lang w:val="en-US" w:bidi="ar-SA" w:eastAsia="zh-CN"/>
    </w:rPr>
  </w:style>
  <w:style w:type="paragraph" w:styleId="1AutoList3">
    <w:name w:val="1AutoList3"/>
    <w:qFormat/>
    <w:pPr>
      <w:widowControl w:val="false"/>
      <w:tabs>
        <w:tab w:val="left" w:pos="720" w:leader="none"/>
      </w:tabs>
      <w:autoSpaceDE w:val="false"/>
      <w:bidi w:val="0"/>
      <w:ind w:hanging="720" w:start="720" w:end="0"/>
      <w:jc w:val="both"/>
    </w:pPr>
    <w:rPr>
      <w:rFonts w:ascii="Times New Roman" w:hAnsi="Times New Roman" w:eastAsia="Times New Roman" w:cs="Times New Roman"/>
      <w:color w:val="auto"/>
      <w:sz w:val="20"/>
      <w:szCs w:val="24"/>
      <w:lang w:val="en-US" w:bidi="ar-SA" w:eastAsia="zh-CN"/>
    </w:rPr>
  </w:style>
  <w:style w:type="paragraph" w:styleId="2AutoList3">
    <w:name w:val="2AutoList3"/>
    <w:qFormat/>
    <w:pPr>
      <w:widowControl w:val="false"/>
      <w:tabs>
        <w:tab w:val="left" w:pos="720" w:leader="none"/>
        <w:tab w:val="left" w:pos="1440" w:leader="none"/>
      </w:tabs>
      <w:autoSpaceDE w:val="false"/>
      <w:bidi w:val="0"/>
      <w:ind w:hanging="720" w:start="1440" w:end="0"/>
      <w:jc w:val="both"/>
    </w:pPr>
    <w:rPr>
      <w:rFonts w:ascii="Times New Roman" w:hAnsi="Times New Roman" w:eastAsia="Times New Roman" w:cs="Times New Roman"/>
      <w:color w:val="auto"/>
      <w:sz w:val="20"/>
      <w:szCs w:val="24"/>
      <w:lang w:val="en-US" w:bidi="ar-SA" w:eastAsia="zh-CN"/>
    </w:rPr>
  </w:style>
  <w:style w:type="paragraph" w:styleId="3AutoList3">
    <w:name w:val="3AutoList3"/>
    <w:qFormat/>
    <w:pPr>
      <w:widowControl w:val="false"/>
      <w:tabs>
        <w:tab w:val="left" w:pos="720" w:leader="none"/>
        <w:tab w:val="left" w:pos="1440" w:leader="none"/>
        <w:tab w:val="left" w:pos="2160" w:leader="none"/>
      </w:tabs>
      <w:autoSpaceDE w:val="false"/>
      <w:bidi w:val="0"/>
      <w:ind w:hanging="720" w:start="2160" w:end="0"/>
      <w:jc w:val="both"/>
    </w:pPr>
    <w:rPr>
      <w:rFonts w:ascii="Times New Roman" w:hAnsi="Times New Roman" w:eastAsia="Times New Roman" w:cs="Times New Roman"/>
      <w:color w:val="auto"/>
      <w:sz w:val="20"/>
      <w:szCs w:val="24"/>
      <w:lang w:val="en-US" w:bidi="ar-SA" w:eastAsia="zh-CN"/>
    </w:rPr>
  </w:style>
  <w:style w:type="paragraph" w:styleId="4AutoList3">
    <w:name w:val="4AutoList3"/>
    <w:qFormat/>
    <w:pPr>
      <w:widowControl w:val="false"/>
      <w:tabs>
        <w:tab w:val="left" w:pos="720" w:leader="none"/>
        <w:tab w:val="left" w:pos="1440" w:leader="none"/>
        <w:tab w:val="left" w:pos="2160" w:leader="none"/>
        <w:tab w:val="left" w:pos="2880" w:leader="none"/>
      </w:tabs>
      <w:autoSpaceDE w:val="false"/>
      <w:bidi w:val="0"/>
      <w:ind w:hanging="720" w:start="2880" w:end="0"/>
      <w:jc w:val="both"/>
    </w:pPr>
    <w:rPr>
      <w:rFonts w:ascii="Times New Roman" w:hAnsi="Times New Roman" w:eastAsia="Times New Roman" w:cs="Times New Roman"/>
      <w:color w:val="auto"/>
      <w:sz w:val="20"/>
      <w:szCs w:val="24"/>
      <w:lang w:val="en-US" w:bidi="ar-SA" w:eastAsia="zh-CN"/>
    </w:rPr>
  </w:style>
  <w:style w:type="paragraph" w:styleId="5AutoList3">
    <w:name w:val="5AutoList3"/>
    <w:qFormat/>
    <w:pPr>
      <w:widowControl w:val="false"/>
      <w:tabs>
        <w:tab w:val="left" w:pos="720" w:leader="none"/>
        <w:tab w:val="left" w:pos="1440" w:leader="none"/>
        <w:tab w:val="left" w:pos="2160" w:leader="none"/>
        <w:tab w:val="left" w:pos="2880" w:leader="none"/>
        <w:tab w:val="left" w:pos="3600" w:leader="none"/>
      </w:tabs>
      <w:autoSpaceDE w:val="false"/>
      <w:bidi w:val="0"/>
      <w:ind w:hanging="720" w:start="3600" w:end="0"/>
      <w:jc w:val="both"/>
    </w:pPr>
    <w:rPr>
      <w:rFonts w:ascii="Times New Roman" w:hAnsi="Times New Roman" w:eastAsia="Times New Roman" w:cs="Times New Roman"/>
      <w:color w:val="auto"/>
      <w:sz w:val="20"/>
      <w:szCs w:val="24"/>
      <w:lang w:val="en-US" w:bidi="ar-SA" w:eastAsia="zh-CN"/>
    </w:rPr>
  </w:style>
  <w:style w:type="paragraph" w:styleId="6AutoList3">
    <w:name w:val="6AutoList3"/>
    <w:qFormat/>
    <w:pPr>
      <w:widowControl w:val="false"/>
      <w:tabs>
        <w:tab w:val="left" w:pos="720" w:leader="none"/>
        <w:tab w:val="left" w:pos="1440" w:leader="none"/>
        <w:tab w:val="left" w:pos="2160" w:leader="none"/>
        <w:tab w:val="left" w:pos="2880" w:leader="none"/>
        <w:tab w:val="left" w:pos="3600" w:leader="none"/>
        <w:tab w:val="left" w:pos="4320" w:leader="none"/>
      </w:tabs>
      <w:autoSpaceDE w:val="false"/>
      <w:bidi w:val="0"/>
      <w:ind w:hanging="720" w:start="4320" w:end="0"/>
      <w:jc w:val="both"/>
    </w:pPr>
    <w:rPr>
      <w:rFonts w:ascii="Times New Roman" w:hAnsi="Times New Roman" w:eastAsia="Times New Roman" w:cs="Times New Roman"/>
      <w:color w:val="auto"/>
      <w:sz w:val="20"/>
      <w:szCs w:val="24"/>
      <w:lang w:val="en-US" w:bidi="ar-SA" w:eastAsia="zh-CN"/>
    </w:rPr>
  </w:style>
  <w:style w:type="paragraph" w:styleId="7AutoList3">
    <w:name w:val="7AutoList3"/>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autoSpaceDE w:val="false"/>
      <w:bidi w:val="0"/>
      <w:ind w:hanging="720" w:start="5040" w:end="0"/>
      <w:jc w:val="both"/>
    </w:pPr>
    <w:rPr>
      <w:rFonts w:ascii="Times New Roman" w:hAnsi="Times New Roman" w:eastAsia="Times New Roman" w:cs="Times New Roman"/>
      <w:color w:val="auto"/>
      <w:sz w:val="20"/>
      <w:szCs w:val="24"/>
      <w:lang w:val="en-US" w:bidi="ar-SA" w:eastAsia="zh-CN"/>
    </w:rPr>
  </w:style>
  <w:style w:type="paragraph" w:styleId="8AutoList3">
    <w:name w:val="8AutoList3"/>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autoSpaceDE w:val="false"/>
      <w:bidi w:val="0"/>
      <w:ind w:hanging="720" w:start="5760" w:end="0"/>
      <w:jc w:val="both"/>
    </w:pPr>
    <w:rPr>
      <w:rFonts w:ascii="Times New Roman" w:hAnsi="Times New Roman" w:eastAsia="Times New Roman" w:cs="Times New Roman"/>
      <w:color w:val="auto"/>
      <w:sz w:val="20"/>
      <w:szCs w:val="24"/>
      <w:lang w:val="en-US" w:bidi="ar-SA" w:eastAsia="zh-CN"/>
    </w:rPr>
  </w:style>
  <w:style w:type="paragraph" w:styleId="1AutoList2">
    <w:name w:val="1AutoList2"/>
    <w:qFormat/>
    <w:pPr>
      <w:widowControl w:val="false"/>
      <w:tabs>
        <w:tab w:val="left" w:pos="720" w:leader="none"/>
      </w:tabs>
      <w:autoSpaceDE w:val="false"/>
      <w:bidi w:val="0"/>
      <w:ind w:hanging="720" w:start="720" w:end="0"/>
      <w:jc w:val="both"/>
    </w:pPr>
    <w:rPr>
      <w:rFonts w:ascii="Times New Roman" w:hAnsi="Times New Roman" w:eastAsia="Times New Roman" w:cs="Times New Roman"/>
      <w:color w:val="auto"/>
      <w:sz w:val="20"/>
      <w:szCs w:val="24"/>
      <w:lang w:val="en-US" w:bidi="ar-SA" w:eastAsia="zh-CN"/>
    </w:rPr>
  </w:style>
  <w:style w:type="paragraph" w:styleId="2AutoList2">
    <w:name w:val="2AutoList2"/>
    <w:qFormat/>
    <w:pPr>
      <w:widowControl w:val="false"/>
      <w:tabs>
        <w:tab w:val="left" w:pos="720" w:leader="none"/>
        <w:tab w:val="left" w:pos="1440" w:leader="none"/>
      </w:tabs>
      <w:autoSpaceDE w:val="false"/>
      <w:bidi w:val="0"/>
      <w:ind w:hanging="720" w:start="1440" w:end="0"/>
      <w:jc w:val="both"/>
    </w:pPr>
    <w:rPr>
      <w:rFonts w:ascii="Times New Roman" w:hAnsi="Times New Roman" w:eastAsia="Times New Roman" w:cs="Times New Roman"/>
      <w:color w:val="auto"/>
      <w:sz w:val="20"/>
      <w:szCs w:val="24"/>
      <w:lang w:val="en-US" w:bidi="ar-SA" w:eastAsia="zh-CN"/>
    </w:rPr>
  </w:style>
  <w:style w:type="paragraph" w:styleId="3AutoList2">
    <w:name w:val="3AutoList2"/>
    <w:qFormat/>
    <w:pPr>
      <w:widowControl w:val="false"/>
      <w:tabs>
        <w:tab w:val="left" w:pos="720" w:leader="none"/>
        <w:tab w:val="left" w:pos="1440" w:leader="none"/>
        <w:tab w:val="left" w:pos="2160" w:leader="none"/>
      </w:tabs>
      <w:autoSpaceDE w:val="false"/>
      <w:bidi w:val="0"/>
      <w:ind w:hanging="720" w:start="2160" w:end="0"/>
      <w:jc w:val="both"/>
    </w:pPr>
    <w:rPr>
      <w:rFonts w:ascii="Times New Roman" w:hAnsi="Times New Roman" w:eastAsia="Times New Roman" w:cs="Times New Roman"/>
      <w:color w:val="auto"/>
      <w:sz w:val="20"/>
      <w:szCs w:val="24"/>
      <w:lang w:val="en-US" w:bidi="ar-SA" w:eastAsia="zh-CN"/>
    </w:rPr>
  </w:style>
  <w:style w:type="paragraph" w:styleId="4AutoList2">
    <w:name w:val="4AutoList2"/>
    <w:qFormat/>
    <w:pPr>
      <w:widowControl w:val="false"/>
      <w:tabs>
        <w:tab w:val="left" w:pos="720" w:leader="none"/>
        <w:tab w:val="left" w:pos="1440" w:leader="none"/>
        <w:tab w:val="left" w:pos="2160" w:leader="none"/>
        <w:tab w:val="left" w:pos="2880" w:leader="none"/>
      </w:tabs>
      <w:autoSpaceDE w:val="false"/>
      <w:bidi w:val="0"/>
      <w:ind w:hanging="720" w:start="2880" w:end="0"/>
      <w:jc w:val="both"/>
    </w:pPr>
    <w:rPr>
      <w:rFonts w:ascii="Times New Roman" w:hAnsi="Times New Roman" w:eastAsia="Times New Roman" w:cs="Times New Roman"/>
      <w:color w:val="auto"/>
      <w:sz w:val="20"/>
      <w:szCs w:val="24"/>
      <w:lang w:val="en-US" w:bidi="ar-SA" w:eastAsia="zh-C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autoSpaceDE w:val="false"/>
      <w:bidi w:val="0"/>
      <w:ind w:hanging="720" w:start="3600" w:end="0"/>
      <w:jc w:val="both"/>
    </w:pPr>
    <w:rPr>
      <w:rFonts w:ascii="Times New Roman" w:hAnsi="Times New Roman" w:eastAsia="Times New Roman" w:cs="Times New Roman"/>
      <w:color w:val="auto"/>
      <w:sz w:val="20"/>
      <w:szCs w:val="24"/>
      <w:lang w:val="en-US" w:bidi="ar-SA" w:eastAsia="zh-C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autoSpaceDE w:val="false"/>
      <w:bidi w:val="0"/>
      <w:ind w:hanging="720" w:start="4320" w:end="0"/>
      <w:jc w:val="both"/>
    </w:pPr>
    <w:rPr>
      <w:rFonts w:ascii="Times New Roman" w:hAnsi="Times New Roman" w:eastAsia="Times New Roman" w:cs="Times New Roman"/>
      <w:color w:val="auto"/>
      <w:sz w:val="20"/>
      <w:szCs w:val="24"/>
      <w:lang w:val="en-US" w:bidi="ar-SA" w:eastAsia="zh-C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autoSpaceDE w:val="false"/>
      <w:bidi w:val="0"/>
      <w:ind w:hanging="720" w:start="5040" w:end="0"/>
      <w:jc w:val="both"/>
    </w:pPr>
    <w:rPr>
      <w:rFonts w:ascii="Times New Roman" w:hAnsi="Times New Roman" w:eastAsia="Times New Roman" w:cs="Times New Roman"/>
      <w:color w:val="auto"/>
      <w:sz w:val="20"/>
      <w:szCs w:val="24"/>
      <w:lang w:val="en-US" w:bidi="ar-SA" w:eastAsia="zh-C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autoSpaceDE w:val="false"/>
      <w:bidi w:val="0"/>
      <w:ind w:hanging="720" w:start="5760" w:end="0"/>
      <w:jc w:val="both"/>
    </w:pPr>
    <w:rPr>
      <w:rFonts w:ascii="Times New Roman" w:hAnsi="Times New Roman" w:eastAsia="Times New Roman" w:cs="Times New Roman"/>
      <w:color w:val="auto"/>
      <w:sz w:val="20"/>
      <w:szCs w:val="24"/>
      <w:lang w:val="en-US" w:bidi="ar-SA" w:eastAsia="zh-CN"/>
    </w:rPr>
  </w:style>
  <w:style w:type="paragraph" w:styleId="1AutoList1">
    <w:name w:val="1AutoList1"/>
    <w:qFormat/>
    <w:pPr>
      <w:widowControl w:val="false"/>
      <w:tabs>
        <w:tab w:val="left" w:pos="720" w:leader="none"/>
      </w:tabs>
      <w:autoSpaceDE w:val="false"/>
      <w:bidi w:val="0"/>
      <w:ind w:hanging="720" w:start="720" w:end="0"/>
      <w:jc w:val="both"/>
    </w:pPr>
    <w:rPr>
      <w:rFonts w:ascii="Times New Roman" w:hAnsi="Times New Roman" w:eastAsia="Times New Roman" w:cs="Times New Roman"/>
      <w:color w:val="auto"/>
      <w:sz w:val="20"/>
      <w:szCs w:val="24"/>
      <w:lang w:val="en-US" w:bidi="ar-SA" w:eastAsia="zh-CN"/>
    </w:rPr>
  </w:style>
  <w:style w:type="paragraph" w:styleId="2AutoList1">
    <w:name w:val="2AutoList1"/>
    <w:qFormat/>
    <w:pPr>
      <w:widowControl w:val="false"/>
      <w:tabs>
        <w:tab w:val="left" w:pos="720" w:leader="none"/>
        <w:tab w:val="left" w:pos="1440" w:leader="none"/>
      </w:tabs>
      <w:autoSpaceDE w:val="false"/>
      <w:bidi w:val="0"/>
      <w:ind w:hanging="720" w:start="1440" w:end="0"/>
      <w:jc w:val="both"/>
    </w:pPr>
    <w:rPr>
      <w:rFonts w:ascii="Times New Roman" w:hAnsi="Times New Roman" w:eastAsia="Times New Roman" w:cs="Times New Roman"/>
      <w:color w:val="auto"/>
      <w:sz w:val="20"/>
      <w:szCs w:val="24"/>
      <w:lang w:val="en-US" w:bidi="ar-SA" w:eastAsia="zh-CN"/>
    </w:rPr>
  </w:style>
  <w:style w:type="paragraph" w:styleId="3AutoList1">
    <w:name w:val="3AutoList1"/>
    <w:qFormat/>
    <w:pPr>
      <w:widowControl w:val="false"/>
      <w:tabs>
        <w:tab w:val="left" w:pos="720" w:leader="none"/>
        <w:tab w:val="left" w:pos="1440" w:leader="none"/>
        <w:tab w:val="left" w:pos="2160" w:leader="none"/>
      </w:tabs>
      <w:autoSpaceDE w:val="false"/>
      <w:bidi w:val="0"/>
      <w:ind w:hanging="720" w:start="2160" w:end="0"/>
      <w:jc w:val="both"/>
    </w:pPr>
    <w:rPr>
      <w:rFonts w:ascii="Times New Roman" w:hAnsi="Times New Roman" w:eastAsia="Times New Roman" w:cs="Times New Roman"/>
      <w:color w:val="auto"/>
      <w:sz w:val="20"/>
      <w:szCs w:val="24"/>
      <w:lang w:val="en-US" w:bidi="ar-SA" w:eastAsia="zh-CN"/>
    </w:rPr>
  </w:style>
  <w:style w:type="paragraph" w:styleId="4AutoList1">
    <w:name w:val="4AutoList1"/>
    <w:qFormat/>
    <w:pPr>
      <w:widowControl w:val="false"/>
      <w:tabs>
        <w:tab w:val="left" w:pos="720" w:leader="none"/>
        <w:tab w:val="left" w:pos="1440" w:leader="none"/>
        <w:tab w:val="left" w:pos="2160" w:leader="none"/>
        <w:tab w:val="left" w:pos="2880" w:leader="none"/>
      </w:tabs>
      <w:autoSpaceDE w:val="false"/>
      <w:bidi w:val="0"/>
      <w:ind w:hanging="720" w:start="2880" w:end="0"/>
      <w:jc w:val="both"/>
    </w:pPr>
    <w:rPr>
      <w:rFonts w:ascii="Times New Roman" w:hAnsi="Times New Roman" w:eastAsia="Times New Roman" w:cs="Times New Roman"/>
      <w:color w:val="auto"/>
      <w:sz w:val="20"/>
      <w:szCs w:val="24"/>
      <w:lang w:val="en-US" w:bidi="ar-SA" w:eastAsia="zh-C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autoSpaceDE w:val="false"/>
      <w:bidi w:val="0"/>
      <w:ind w:hanging="720" w:start="3600" w:end="0"/>
      <w:jc w:val="both"/>
    </w:pPr>
    <w:rPr>
      <w:rFonts w:ascii="Times New Roman" w:hAnsi="Times New Roman" w:eastAsia="Times New Roman" w:cs="Times New Roman"/>
      <w:color w:val="auto"/>
      <w:sz w:val="20"/>
      <w:szCs w:val="24"/>
      <w:lang w:val="en-US" w:bidi="ar-SA" w:eastAsia="zh-C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autoSpaceDE w:val="false"/>
      <w:bidi w:val="0"/>
      <w:ind w:hanging="720" w:start="4320" w:end="0"/>
      <w:jc w:val="both"/>
    </w:pPr>
    <w:rPr>
      <w:rFonts w:ascii="Times New Roman" w:hAnsi="Times New Roman" w:eastAsia="Times New Roman" w:cs="Times New Roman"/>
      <w:color w:val="auto"/>
      <w:sz w:val="20"/>
      <w:szCs w:val="24"/>
      <w:lang w:val="en-US" w:bidi="ar-SA" w:eastAsia="zh-C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autoSpaceDE w:val="false"/>
      <w:bidi w:val="0"/>
      <w:ind w:hanging="720" w:start="5040" w:end="0"/>
      <w:jc w:val="both"/>
    </w:pPr>
    <w:rPr>
      <w:rFonts w:ascii="Times New Roman" w:hAnsi="Times New Roman" w:eastAsia="Times New Roman" w:cs="Times New Roman"/>
      <w:color w:val="auto"/>
      <w:sz w:val="20"/>
      <w:szCs w:val="24"/>
      <w:lang w:val="en-US" w:bidi="ar-SA" w:eastAsia="zh-C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autoSpaceDE w:val="false"/>
      <w:bidi w:val="0"/>
      <w:ind w:hanging="720" w:start="5760" w:end="0"/>
      <w:jc w:val="both"/>
    </w:pPr>
    <w:rPr>
      <w:rFonts w:ascii="Times New Roman" w:hAnsi="Times New Roman" w:eastAsia="Times New Roman" w:cs="Times New Roman"/>
      <w:color w:val="auto"/>
      <w:sz w:val="20"/>
      <w:szCs w:val="24"/>
      <w:lang w:val="en-US" w:bidi="ar-SA" w:eastAsia="zh-CN"/>
    </w:rPr>
  </w:style>
  <w:style w:type="paragraph" w:styleId="QuickA">
    <w:name w:val="Quick A."/>
    <w:qFormat/>
    <w:pPr>
      <w:widowControl w:val="false"/>
      <w:autoSpaceDE w:val="false"/>
      <w:bidi w:val="0"/>
      <w:ind w:hanging="0" w:start="-1440" w:end="0"/>
    </w:pPr>
    <w:rPr>
      <w:rFonts w:ascii="Times New Roman" w:hAnsi="Times New Roman" w:eastAsia="Times New Roman" w:cs="Times New Roman"/>
      <w:color w:val="auto"/>
      <w:sz w:val="20"/>
      <w:szCs w:val="24"/>
      <w:lang w:val="en-US" w:bidi="ar-SA" w:eastAsia="zh-CN"/>
    </w:rPr>
  </w:style>
  <w:style w:type="paragraph" w:styleId="QuickI">
    <w:name w:val="Quick I."/>
    <w:qFormat/>
    <w:pPr>
      <w:widowControl w:val="false"/>
      <w:autoSpaceDE w:val="false"/>
      <w:bidi w:val="0"/>
      <w:ind w:hanging="0" w:start="-1440" w:end="0"/>
    </w:pPr>
    <w:rPr>
      <w:rFonts w:ascii="Times New Roman" w:hAnsi="Times New Roman" w:eastAsia="Times New Roman" w:cs="Times New Roman"/>
      <w:color w:val="auto"/>
      <w:sz w:val="20"/>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720" w:start="0" w:end="0"/>
    </w:pPr>
    <w:rPr>
      <w:sz w:val="24"/>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2001-06-20T12:08:00Z</dcterms:created>
  <dc:creator>John Jimison</dc:creator>
  <dc:description/>
  <dc:language>en-CA</dc:language>
  <cp:lastModifiedBy>John Jimison</cp:lastModifiedBy>
  <cp:lastPrinted>2001-06-20T13:36:00Z</cp:lastPrinted>
  <dcterms:modified xsi:type="dcterms:W3CDTF">2001-06-20T15:06:00Z</dcterms:modified>
  <cp:revision>6</cp:revision>
  <dc:subject/>
  <dc:title>BEFORE THE</dc:title>
</cp:coreProperties>
</file>