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t>MASTER CROSS</w:t>
        <w:noBreakHyphen/>
        <w:t>PRODUCT AND CROSS-ENTITY NETTING, SETOFF,</w:t>
      </w:r>
    </w:p>
    <w:p>
      <w:pPr>
        <w:pStyle w:val="Normal"/>
        <w:jc w:val="center"/>
        <w:rPr>
          <w:b/>
          <w:bCs/>
          <w:sz w:val="24"/>
        </w:rPr>
      </w:pPr>
      <w:r>
        <w:rPr>
          <w:b/>
          <w:bCs/>
          <w:sz w:val="24"/>
        </w:rPr>
        <w:t>AND SECURITY AGREEMENT</w:t>
      </w:r>
    </w:p>
    <w:p>
      <w:pPr>
        <w:pStyle w:val="Normal"/>
        <w:jc w:val="center"/>
        <w:rPr>
          <w:b/>
          <w:bCs/>
          <w:sz w:val="24"/>
        </w:rPr>
      </w:pPr>
      <w:r>
        <w:rPr>
          <w:b/>
          <w:bCs/>
          <w:sz w:val="24"/>
        </w:rPr>
        <w:t>[DRAFT OF 1/20/01]</w:t>
      </w:r>
    </w:p>
    <w:p>
      <w:pPr>
        <w:pStyle w:val="Normal"/>
        <w:jc w:val="both"/>
        <w:rPr>
          <w:b/>
          <w:bCs/>
          <w:sz w:val="22"/>
        </w:rPr>
      </w:pPr>
      <w:r>
        <w:rPr>
          <w:b/>
          <w:bCs/>
          <w:sz w:val="22"/>
        </w:rPr>
      </w:r>
    </w:p>
    <w:p>
      <w:pPr>
        <w:pStyle w:val="OmniPage2"/>
        <w:tabs>
          <w:tab w:val="clear" w:pos="720"/>
          <w:tab w:val="right" w:pos="9390" w:leader="none"/>
          <w:tab w:val="right" w:pos="9440" w:leader="none"/>
        </w:tabs>
        <w:jc w:val="both"/>
        <w:rPr/>
      </w:pPr>
      <w:r>
        <w:rPr>
          <w:sz w:val="22"/>
        </w:rPr>
        <w:t>This Master Cross</w:t>
        <w:noBreakHyphen/>
        <w:t>Product and Cross-Entity Netting, Setoff, and Security Agreement (this "</w:t>
      </w:r>
      <w:r>
        <w:rPr>
          <w:sz w:val="22"/>
          <w:u w:val="single"/>
        </w:rPr>
        <w:t>Agreement</w:t>
      </w:r>
      <w:r>
        <w:rPr>
          <w:sz w:val="22"/>
        </w:rPr>
        <w:t>") is made and entered into effective as of January __, 2001, by and among the undersigned Enron entities (collectively, the "</w:t>
      </w:r>
      <w:r>
        <w:rPr>
          <w:sz w:val="22"/>
          <w:u w:val="single"/>
        </w:rPr>
        <w:t>Enron Parties</w:t>
      </w:r>
      <w:r>
        <w:rPr>
          <w:sz w:val="22"/>
        </w:rPr>
        <w:t>" and individually, an "</w:t>
      </w:r>
      <w:r>
        <w:rPr>
          <w:sz w:val="22"/>
          <w:u w:val="single"/>
        </w:rPr>
        <w:t>Enron Party</w:t>
      </w:r>
      <w:r>
        <w:rPr>
          <w:sz w:val="22"/>
        </w:rPr>
        <w:t>") and the undersigned PG&amp;E entities (collectively, the "</w:t>
      </w:r>
      <w:r>
        <w:rPr>
          <w:sz w:val="22"/>
          <w:u w:val="single"/>
        </w:rPr>
        <w:t>PG&amp;E Parties</w:t>
      </w:r>
      <w:r>
        <w:rPr>
          <w:sz w:val="22"/>
        </w:rPr>
        <w:t>" and individually, a "</w:t>
      </w:r>
      <w:r>
        <w:rPr>
          <w:sz w:val="22"/>
          <w:u w:val="single"/>
        </w:rPr>
        <w:t>PG&amp;E Party</w:t>
      </w:r>
      <w:r>
        <w:rPr>
          <w:sz w:val="22"/>
        </w:rPr>
        <w:t>").</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Enron Parties and the PG&amp;E Parties have entered into the master agreements described on </w:t>
      </w:r>
      <w:r>
        <w:rPr>
          <w:sz w:val="22"/>
          <w:u w:val="single"/>
        </w:rPr>
        <w:t>Schedule I</w:t>
      </w:r>
      <w:r>
        <w:rPr>
          <w:sz w:val="22"/>
        </w:rPr>
        <w:t xml:space="preserve"> attached hereto and any Enron Party and any PG&amp;E Party may have entered into such other master agreements in the nature of swap agreements and forwards, each as defined in the Code (such agreements, as the same may have been or may be amended, restated, supplemented, or otherwise modified from time to time, and including all Transactions, schedules, annexes, and confirmations thereunder, being collectively referred to as the "</w:t>
      </w:r>
      <w:r>
        <w:rPr>
          <w:sz w:val="22"/>
          <w:u w:val="single"/>
        </w:rPr>
        <w:t>Existing Underlying Master  Agreements</w:t>
      </w:r>
      <w:r>
        <w:rPr>
          <w:sz w:val="22"/>
        </w:rPr>
        <w:t>" and each individually as an "</w:t>
      </w:r>
      <w:r>
        <w:rPr>
          <w:sz w:val="22"/>
          <w:u w:val="single"/>
        </w:rPr>
        <w:t>Existing Underlying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PG&amp;E Parties may after the date of this Agreement enter into master agreements in the nature of swap agreements and forwards, as defined in the Code (such agreements, as the same may be amended, restated, supplemented, or otherwise modified from time to time, and including all Transactions, schedules, annexes, and confirmations thereunder, and together with the Existing Underlying Master Agreements being hereinafter collectively referred to as the "</w:t>
      </w:r>
      <w:r>
        <w:rPr>
          <w:sz w:val="22"/>
          <w:u w:val="single"/>
        </w:rPr>
        <w:t>Underlying Master Agreements</w:t>
      </w:r>
      <w:r>
        <w:rPr>
          <w:sz w:val="22"/>
        </w:rPr>
        <w:t>" and each individually as an "</w:t>
      </w:r>
      <w:r>
        <w:rPr>
          <w:sz w:val="22"/>
          <w:u w:val="single"/>
        </w:rPr>
        <w:t>Underlying Master Agreement</w:t>
      </w:r>
      <w:r>
        <w:rPr>
          <w:sz w:val="22"/>
        </w:rPr>
        <w:t>").</w:t>
      </w:r>
    </w:p>
    <w:p>
      <w:pPr>
        <w:pStyle w:val="BodyText"/>
        <w:rPr>
          <w:sz w:val="22"/>
        </w:rPr>
      </w:pPr>
      <w:r>
        <w:rPr>
          <w:sz w:val="22"/>
        </w:rPr>
      </w:r>
    </w:p>
    <w:p>
      <w:pPr>
        <w:pStyle w:val="Normal"/>
        <w:jc w:val="both"/>
        <w:rPr>
          <w:sz w:val="22"/>
        </w:rPr>
      </w:pPr>
      <w:r>
        <w:rPr>
          <w:sz w:val="22"/>
        </w:rPr>
        <w:t xml:space="preserve">Each Enron Party desires now to provide in this Agreement for its right to terminate, liquidate, net, setoff, and apply Collateral upon a Default by any PG&amp;E Party under any one or more of the Underlying Master Agreements as herein specified, including, without limitation, by permitting each Enron Party to terminate, liquidate, net, setoff, and apply Collateral across all of the Underlying Master Agreements and to treat the Underlying Master Agreements as a single agreement for such purposes, whether or not the Obligations arising under the Underlying Master Agreements are in connection with (a) cash settled Transactions or physically settled Transactions or (b) securities, forward contracts, commodities contracts, repurchase agreements, or swap agreements.  Each PG&amp;E Party desires now to provide in this Agreement for its right to terminate, liquidate, net, setoff, and apply Collateral upon a Default by any Enron Party under any one or more of the Underlying Master Agreements as herein specified, including, without limitation, by permitting any PG&amp;E Party to terminate, liquidate, net, setoff, and apply Collateral across all of the Underlying Master Agreements and to treat the Underlying Master Agreements as a single agreement for such purposes, whether or not the Obligations arising under the Underlying Master Agreements are in connection with (a) cash settled Transactions or physically settled Transactions or (b) securities, forward contracts, commodities contracts, repurchase agreements, or swap agreements.  </w:t>
      </w:r>
    </w:p>
    <w:p>
      <w:pPr>
        <w:pStyle w:val="Normal"/>
        <w:jc w:val="both"/>
        <w:rPr/>
      </w:pPr>
      <w:r>
        <w:rPr/>
        <w:t xml:space="preserve">   </w:t>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the Parties agree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Defined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Normal"/>
        <w:jc w:val="both"/>
        <w:rPr>
          <w:sz w:val="22"/>
        </w:rPr>
      </w:pPr>
      <w:r>
        <w:rPr>
          <w:sz w:val="22"/>
        </w:rPr>
      </w:r>
    </w:p>
    <w:p>
      <w:pPr>
        <w:pStyle w:val="OmniPage2"/>
        <w:ind w:firstLine="720" w:end="0"/>
        <w:jc w:val="both"/>
        <w:rPr/>
      </w:pPr>
      <w:r>
        <w:rPr>
          <w:sz w:val="22"/>
        </w:rPr>
        <w:t>"</w:t>
      </w:r>
      <w:r>
        <w:rPr>
          <w:sz w:val="22"/>
          <w:u w:val="single"/>
        </w:rPr>
        <w:t>Code</w:t>
      </w:r>
      <w:r>
        <w:rPr>
          <w:sz w:val="22"/>
        </w:rPr>
        <w:t>" means the United States Bankruptcy Code, 11 U.S.C. §§101</w:t>
        <w:noBreakHyphen/>
        <w:t>1330.</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Collateral</w:t>
      </w:r>
      <w:r>
        <w:rPr>
          <w:sz w:val="22"/>
        </w:rPr>
        <w:t>" has the meaning set forth in Section 6.</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Credit Rating</w:t>
      </w:r>
      <w:r>
        <w:rPr>
          <w:sz w:val="22"/>
        </w:rPr>
        <w:t>" means with respect to an entity on any date of determination, the respective ratings then assigned to such entity's unsecured, senior long-term debt or deposit obligations (not supported by third party credit enhancement) by S&amp;P, Moody's or the other specified rating agency or agencies.</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Debt</w:t>
      </w:r>
      <w:r>
        <w:rPr>
          <w:sz w:val="22"/>
        </w:rPr>
        <w:t>" has the meaning set forth in Section 101 of the Code.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the Enron Parties when a Default has occurred with respect to any Enron Party ("</w:t>
      </w:r>
      <w:r>
        <w:rPr>
          <w:sz w:val="22"/>
          <w:u w:val="single"/>
        </w:rPr>
        <w:t>Defaulting Enron Party"</w:t>
      </w:r>
      <w:r>
        <w:rPr>
          <w:sz w:val="22"/>
        </w:rPr>
        <w:t>), and the PG&amp;E Parties when a Default has occurred with respect to any PG&amp;E Party ("</w:t>
      </w:r>
      <w:r>
        <w:rPr>
          <w:sz w:val="22"/>
          <w:u w:val="single"/>
        </w:rPr>
        <w:t>Defaulting PG&amp;E Party</w:t>
      </w:r>
      <w:r>
        <w:rPr>
          <w:sz w:val="22"/>
        </w:rPr>
        <w:t>").</w:t>
      </w:r>
    </w:p>
    <w:p>
      <w:pPr>
        <w:pStyle w:val="OmniPage2"/>
        <w:ind w:firstLine="720" w:end="0"/>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Existing PG&amp;E Guarantors</w:t>
      </w:r>
      <w:r>
        <w:rPr>
          <w:sz w:val="22"/>
        </w:rPr>
        <w:t>" has the meaning set forth in Section 17.</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Final Settlement Amount</w:t>
      </w:r>
      <w:r>
        <w:rPr>
          <w:sz w:val="22"/>
        </w:rPr>
        <w:t>" has the meaning set forth in Section 4.</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Letters of Credit</w:t>
      </w:r>
      <w:r>
        <w:rPr>
          <w:sz w:val="22"/>
        </w:rPr>
        <w:t>" has the meaning set forth in Section 6.</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Moody's</w:t>
      </w:r>
      <w:r>
        <w:rPr>
          <w:sz w:val="22"/>
        </w:rPr>
        <w:t>" means Moody's Investors Service, Inc. or its successor.</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Non-defaulting Party</w:t>
      </w:r>
      <w:r>
        <w:rPr>
          <w:sz w:val="22"/>
        </w:rPr>
        <w:t>" means the Enron Parties when a Default has occurred with respect to any PG&amp;E Party and the PG&amp;E Parties when a Default has occurred with respect to any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any PG&amp;E Party owes to any Enron Party or any Enron Party owes to any PG&amp;E Party, whether financial or physical including, without limitation, payment and delivery obligations, each and every obligation or requirement under an Underlying Master Agreement, a Transaction, or hereunder, any Debt, any obligation arising under a guarantee that any PG&amp;E Party has provided to any Enron Party or that any Enron Party has provided to any PG&amp;E Party, and each and every obligation or requirement under any Transaction, Underlying Master Agreement, or this Agreement to maintain or deliver Collateral with respect thereto (whether or not performance is due) or in connection with a guarantee, or acceleration, cancellation, termination, or liquidation of a guarantee, whether arising under an Underlying Master Agreement, this Agreement, heretofore or hereafter, and whether fixed, matured, liquidated, or contingent.</w:t>
      </w:r>
    </w:p>
    <w:p>
      <w:pPr>
        <w:pStyle w:val="Normal"/>
        <w:jc w:val="both"/>
        <w:rPr>
          <w:sz w:val="22"/>
        </w:rPr>
      </w:pPr>
      <w:r>
        <w:rPr>
          <w:sz w:val="22"/>
        </w:rPr>
      </w:r>
    </w:p>
    <w:p>
      <w:pPr>
        <w:pStyle w:val="Normal"/>
        <w:ind w:firstLine="720" w:end="0"/>
        <w:jc w:val="both"/>
        <w:rPr/>
      </w:pPr>
      <w:r>
        <w:rPr>
          <w:sz w:val="22"/>
        </w:rPr>
        <w:t>"</w:t>
      </w:r>
      <w:r>
        <w:rPr>
          <w:sz w:val="22"/>
          <w:u w:val="single"/>
        </w:rPr>
        <w:t>Party</w:t>
      </w:r>
      <w:r>
        <w:rPr>
          <w:sz w:val="22"/>
        </w:rPr>
        <w:t xml:space="preserve">" means either an Enron Party or a PG&amp;E Party, as the context so indicates; provided, </w:t>
      </w:r>
      <w:r>
        <w:rPr>
          <w:sz w:val="22"/>
          <w:szCs w:val="22"/>
        </w:rPr>
        <w:t xml:space="preserve"> notwithstanding anything to the contrary set forth herein, Houston Pipe Line Company shall not be an Enron Party when and if it shall no longer be a subsidiary of Enron Corp.</w:t>
      </w:r>
    </w:p>
    <w:p>
      <w:pPr>
        <w:pStyle w:val="OmniPage2"/>
        <w:ind w:firstLine="720" w:end="0"/>
        <w:jc w:val="both"/>
        <w:rPr>
          <w:sz w:val="22"/>
          <w:szCs w:val="22"/>
        </w:rPr>
      </w:pPr>
      <w:r>
        <w:rPr>
          <w:sz w:val="22"/>
          <w:szCs w:val="22"/>
        </w:rPr>
      </w:r>
    </w:p>
    <w:p>
      <w:pPr>
        <w:pStyle w:val="OmniPage2"/>
        <w:ind w:firstLine="720" w:end="0"/>
        <w:jc w:val="both"/>
        <w:rPr/>
      </w:pPr>
      <w:r>
        <w:rPr>
          <w:sz w:val="22"/>
        </w:rPr>
        <w:t>"</w:t>
      </w:r>
      <w:r>
        <w:rPr>
          <w:sz w:val="22"/>
          <w:u w:val="single"/>
        </w:rPr>
        <w:t>PG&amp;E Affiliate</w:t>
      </w:r>
      <w:r>
        <w:rPr>
          <w:sz w:val="22"/>
        </w:rPr>
        <w:t>" means each PG&amp;E Party and each of its now and hereafter existing affiliates.</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PG&amp;E Guarantors</w:t>
      </w:r>
      <w:r>
        <w:rPr>
          <w:sz w:val="22"/>
        </w:rPr>
        <w:t>" means PG&amp;E National Energy Group, Inc. ("</w:t>
      </w:r>
      <w:r>
        <w:rPr>
          <w:sz w:val="22"/>
          <w:u w:val="single"/>
        </w:rPr>
        <w:t>NEG</w:t>
      </w:r>
      <w:r>
        <w:rPr>
          <w:sz w:val="22"/>
        </w:rPr>
        <w:t>") and PG&amp;E Energy Trading Holdings Corporation.</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PG&amp;E Guaranty Agreement</w:t>
      </w:r>
      <w:r>
        <w:rPr>
          <w:sz w:val="22"/>
        </w:rPr>
        <w:t>" means that certain Amended and Restated Guarantee dated January __, 2001, entered into by the PG&amp;E Guarantors for the benefit of the Enron Parties.</w:t>
      </w:r>
    </w:p>
    <w:p>
      <w:pPr>
        <w:pStyle w:val="OmniPage5"/>
        <w:ind w:firstLine="720" w:end="0"/>
        <w:jc w:val="both"/>
        <w:rPr>
          <w:sz w:val="22"/>
        </w:rPr>
      </w:pPr>
      <w:r>
        <w:rPr>
          <w:sz w:val="22"/>
        </w:rPr>
      </w:r>
    </w:p>
    <w:p>
      <w:pPr>
        <w:pStyle w:val="OmniPage5"/>
        <w:ind w:firstLine="720" w:end="0"/>
        <w:jc w:val="both"/>
        <w:rPr>
          <w:b/>
          <w:bCs/>
          <w:sz w:val="22"/>
        </w:rPr>
      </w:pPr>
      <w:r>
        <w:rPr>
          <w:sz w:val="22"/>
        </w:rPr>
        <w:t>"</w:t>
      </w:r>
      <w:r>
        <w:rPr>
          <w:sz w:val="22"/>
          <w:u w:val="single"/>
        </w:rPr>
        <w:t>PG&amp;E Swap Agreement</w:t>
      </w:r>
      <w:r>
        <w:rPr>
          <w:sz w:val="22"/>
        </w:rPr>
        <w:t xml:space="preserve">" means that certain ISDA Master Agreement dated as of January 15, 1999, by and between Enron Canada Corp. and PG&amp;E Energy Trading, Canada Corporation, as amended. </w:t>
      </w:r>
    </w:p>
    <w:p>
      <w:pPr>
        <w:pStyle w:val="OmniPage5"/>
        <w:ind w:firstLine="720" w:end="0"/>
        <w:jc w:val="both"/>
        <w:rPr>
          <w:b/>
          <w:bCs/>
          <w:sz w:val="22"/>
        </w:rPr>
      </w:pPr>
      <w:r>
        <w:rPr>
          <w:b/>
          <w:bCs/>
          <w:sz w:val="22"/>
        </w:rPr>
      </w:r>
    </w:p>
    <w:p>
      <w:pPr>
        <w:pStyle w:val="OmniPage5"/>
        <w:ind w:firstLine="720" w:end="0"/>
        <w:jc w:val="both"/>
        <w:rPr/>
      </w:pPr>
      <w:r>
        <w:rPr>
          <w:sz w:val="22"/>
        </w:rPr>
        <w:t>"</w:t>
      </w:r>
      <w:r>
        <w:rPr>
          <w:sz w:val="22"/>
          <w:u w:val="single"/>
        </w:rPr>
        <w:t>Settlement Amount</w:t>
      </w:r>
      <w:r>
        <w:rPr>
          <w:sz w:val="22"/>
        </w:rPr>
        <w:t>" means, in respect of any Underlying Master Agreement, the net amount that is due and payable by one Party to the other Party upon (A) such agreement having been accelerated, terminated, liquidated, or cancelled (including by way of automatic early termination), (B) the resulting Obligations of each Party having been determined, and (C) in accordance with the applicable Underlying Master Agreement, those Obligations having been netted and reduced by the exercise of rights to apply margin or other credit support delivered under or held in connection with such agreement.</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S&amp;P</w:t>
      </w:r>
      <w:r>
        <w:rPr>
          <w:sz w:val="22"/>
        </w:rPr>
        <w:t>" means the Standard &amp; Poor's Rating Group (a division of McGraw Hill, Inc.) or its successor.</w:t>
      </w:r>
    </w:p>
    <w:p>
      <w:pPr>
        <w:pStyle w:val="Normal"/>
        <w:jc w:val="both"/>
        <w:rPr>
          <w:sz w:val="22"/>
        </w:rPr>
      </w:pPr>
      <w:r>
        <w:rPr>
          <w:sz w:val="22"/>
        </w:rPr>
        <w:tab/>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PG&amp;E Party arising under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(A) a default, event of default, or other event on the basis of which a Party has the contractual right to accelerate, terminate (including automatic early termination), liquidate, or cancel Transactions, in each foregoing case under any Underlying Master Agreement, or (B) any of the events set forth in Section 5 of the PG&amp;E Swap Agreement with respect to NEG (with respect to a PG&amp;E Party) or Enron Corp. (with respect to an Enron Party) to the extent that such Section 5 events apply to a "credit support provider" as provided in the PG&amp;E Swap Agreement, or</w:t>
      </w:r>
      <w:r>
        <w:rPr>
          <w:b/>
          <w:bCs/>
          <w:sz w:val="22"/>
        </w:rPr>
        <w:t xml:space="preserve"> </w:t>
      </w:r>
      <w:r>
        <w:rPr>
          <w:sz w:val="22"/>
        </w:rPr>
        <w:t>(C) any representation or warranty made or repeated by a Party hereunder proves to have been incorrect or misleading in any material respect when made or repeated, or (D) any Party is in violation of a covenant made hereunder, or (E) with respect to a PG&amp;E Party, NEG's Credit Rating falls below (i) BBB- by S&amp;P, if NEG has a Credit Rating from only S&amp;P, (ii) Baa3 by Moody's, if NEG has a Credit Rating from only Moody's, or (iii) BBB- by S&amp;P and Baa3 by Moody's, if NEG has a Credit Rating from both S&amp;P and Moody's, or (iv) NEG fails to have a Credit Rating from either S&amp;P and Moody's, constitutes a "</w:t>
      </w:r>
      <w:r>
        <w:rPr>
          <w:sz w:val="22"/>
          <w:u w:val="single"/>
        </w:rPr>
        <w:t>Default</w:t>
      </w:r>
      <w:r>
        <w:rPr>
          <w:sz w:val="22"/>
        </w:rPr>
        <w:t>" under this Agreement.</w:t>
      </w:r>
    </w:p>
    <w:p>
      <w:pPr>
        <w:pStyle w:val="OmniPage5"/>
        <w:ind w:firstLine="670" w:start="50" w:end="127"/>
        <w:jc w:val="both"/>
        <w:rPr>
          <w:sz w:val="22"/>
        </w:rPr>
      </w:pPr>
      <w:r>
        <w:rPr>
          <w:sz w:val="22"/>
        </w:rPr>
      </w:r>
    </w:p>
    <w:p>
      <w:pPr>
        <w:pStyle w:val="OmniPage5"/>
        <w:tabs>
          <w:tab w:val="left" w:pos="720" w:leader="none"/>
          <w:tab w:val="right" w:pos="9389" w:leader="none"/>
        </w:tabs>
        <w:ind w:start="52" w:end="0"/>
        <w:jc w:val="both"/>
        <w:rPr/>
      </w:pPr>
      <w:r>
        <w:rPr>
          <w:sz w:val="22"/>
        </w:rPr>
        <w:tab/>
        <w:t>(b) Upon the occurrence and continuance of a Default in respect of any Enron Party (Defaulting Enron Party), or any PG&amp;E Party (Defaulting PG&amp;E Party), each PG&amp;E Party or each Enron Party, respectively, may, without prior notice, (A) consider and declare each Enron Party, or each PG&amp;E Party, respectively, in default of any or all of the Underlying Master Agreements and any or all Transactions thereunder and accelerate, cancel, terminate, and liquidate, or otherwise close-out all Transactions therewith; (B) with respect to a Defaulting Enron Party, setoff, net, and/or recoup each PG&amp;E Party's Obligations to any Enron Party against each Enron Party's Obligations to any PG&amp;E Party, or with respect to a Defaulting PG&amp;E Party, setoff, net, and/or recoup each Enron Party's Obligations to any PG&amp;E Party against each PG&amp;E Party's Obligations to any Enron Party; (C) retain any Collateral; (D) with respect to a Defaulting Enron Party, withhold payment and performance of any PG&amp;E Party's Obligations to any Enron Party to pay, secure, setoff against, net, and/or recoup any Enron Party's Obligations to any PG&amp;E Party, or with respect to a Defaulting PG&amp;E Party, withhold payment and performance of any Enron Party's Obligations to any PG&amp;E Party to pay, secure, setoff against, net, and/or recoup any PG&amp;E Party's Obligations to any Enron Party; (E) foreclose, collect, sell, or otherwise liquidate any Collateral in any order and at any time, and apply the proceeds thereof to satisfy any Enron Party's Obligation to any PG&amp;E Party or any PG&amp;E Party's Obligation to any Enron Party, respectively; (F) convert any Obligation from one currency into another currency as set forth in Section 5; and (G) take any other action permitted by law or in equity or by any Transaction necessary or appropriate to protect, preserve, or enforce its rights or to reduce any risk of loss or delay.  Any one or more of the foregoing acts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sz w:val="22"/>
        </w:rPr>
      </w:pPr>
      <w:r>
        <w:rPr>
          <w:sz w:val="22"/>
        </w:rPr>
        <w:tab/>
        <w:t xml:space="preserve">(c)  The election of Non-defaulting Party to cause the Underlying Master Agreements Close-Out may be made upon notification to the Defaulting Enron Party or the Defaulting PG&amp;E Party, as the case may be, which election may be effective on or after the day such notice is effective.  Any requirements under the Underlying Master Agreements for accelerating, terminating, liquidating, canceling, or otherwise closing-out Transactions thereunder shall be satisfied by such notice, and each of the Underlying Master Agreements is hereby amended accordingly.  If a Default occurs and Non-defaulting Party does not elect to cause the Underlying Master Agreements Close-Out, each Party shall retain its rights and obligations under each Underlying Master Agreement with respect thereto so long as the Default is continuing.        </w:t>
      </w:r>
    </w:p>
    <w:p>
      <w:pPr>
        <w:pStyle w:val="OmniPage5"/>
        <w:tabs>
          <w:tab w:val="left" w:pos="720" w:leader="none"/>
          <w:tab w:val="right" w:pos="9389" w:leader="none"/>
        </w:tabs>
        <w:ind w:start="52" w:end="0"/>
        <w:jc w:val="both"/>
        <w:rPr>
          <w:sz w:val="22"/>
        </w:rPr>
      </w:pPr>
      <w:r>
        <w:rPr>
          <w:sz w:val="22"/>
        </w:rPr>
      </w:r>
    </w:p>
    <w:p>
      <w:pPr>
        <w:pStyle w:val="OmniPage5"/>
        <w:ind w:firstLine="667" w:start="53" w:end="139"/>
        <w:jc w:val="both"/>
        <w:rPr/>
      </w:pPr>
      <w:r>
        <w:rPr>
          <w:b/>
          <w:sz w:val="22"/>
        </w:rPr>
        <w:t xml:space="preserve">3.  Setoff.  </w:t>
      </w:r>
      <w:r>
        <w:rPr>
          <w:sz w:val="22"/>
        </w:rPr>
        <w:t xml:space="preserve">  Upon the occurrence and continuance of a Default in respect of any Enron Party (Defaulting Enron Party), each PG&amp;E Party may, without prior notice, setoff (including by set</w:t>
        <w:noBreakHyphen/>
        <w:t>off, offset, combination of accounts, retention, or withholding across or within each or all of the Underlying Master Agreements) any sum, amount, or Obligation (whether physically or financially settled, matured or unmatured) owed by any PG&amp;E Party to any Enron Party against any sum, amount, or Obligation (whether physically or financially settled, matured or unmatured) owed by any Enron Party to any PG&amp;E Party.  Upon the occurrence and continuance of a Default in respect of any PG&amp;E Party (Defaulting PG&amp;E Party), each Enron Party may, without prior notice, setoff (including by set</w:t>
        <w:noBreakHyphen/>
        <w:t xml:space="preserve">off, offset, combination of accounts, retention, or withholding across or within each or all of the Underlying Master Agreements) any sum, amount, or Obligation (whether physically or financially settled, matured or unmatured) owed by any Enron Party to any PG&amp;E Party against any sum, amount or Obligation (whether physically or financially settled, matured or unmatured) owed by any PG&amp;E Party to any Enron Party.  The foregoing is in addition to, and not in limitation of, any other right or remedy available to Non-defaulting Party (including any right of setoff, offset, combination of accounts, deduction, counterclaim, retention, or withholding), whether arising by agreement, including, without limitation, any of the Underlying Master Agreements and with particularity, rights therein with respect to any Enron Affiliate or any PG&amp;E Affiliate, applicable law, equity, or otherwise.  </w:t>
      </w:r>
    </w:p>
    <w:p>
      <w:pPr>
        <w:pStyle w:val="OmniPage5"/>
        <w:tabs>
          <w:tab w:val="left" w:pos="720" w:leader="none"/>
          <w:tab w:val="right" w:pos="9389" w:leader="none"/>
        </w:tabs>
        <w:ind w:start="52" w:end="0"/>
        <w:jc w:val="both"/>
        <w:rPr>
          <w:b/>
          <w:bCs/>
          <w:sz w:val="22"/>
        </w:rPr>
      </w:pPr>
      <w:r>
        <w:rPr>
          <w:b/>
          <w:bCs/>
          <w:sz w:val="22"/>
        </w:rPr>
        <w:tab/>
      </w:r>
    </w:p>
    <w:p>
      <w:pPr>
        <w:pStyle w:val="OmniPage5"/>
        <w:tabs>
          <w:tab w:val="left" w:pos="720" w:leader="none"/>
          <w:tab w:val="right" w:pos="9389" w:leader="none"/>
        </w:tabs>
        <w:jc w:val="both"/>
        <w:rPr/>
      </w:pPr>
      <w:r>
        <w:rPr>
          <w:b/>
          <w:bCs/>
          <w:sz w:val="22"/>
        </w:rPr>
        <w:tab/>
        <w:t xml:space="preserve">4.  Settlement.  </w:t>
      </w:r>
      <w:r>
        <w:rPr>
          <w:sz w:val="22"/>
        </w:rPr>
        <w:t>The Settlement Amount under each of the Underlying Master Agreements shall be determined in accordance with the terms of such agreement.  Upon such determination all Settlement Amounts shall be netted and reduced by the exercise of rights to apply margin or other credit support delivered under or held in connection therewith and pursuant to all rights granted in this Agreement (the "</w:t>
      </w:r>
      <w:r>
        <w:rPr>
          <w:sz w:val="22"/>
          <w:u w:val="single"/>
        </w:rPr>
        <w:t>Final Settlement Amount</w:t>
      </w:r>
      <w:r>
        <w:rPr>
          <w:sz w:val="22"/>
        </w:rPr>
        <w:t>"); provided, if a Settlement Amount has been setoff in whole or in part, such Settlement Amount, to the extent of such setoff, shall be deemed to have been discharged and no longer due under the relevant Underlying Master Agreement.  Upon determination of the Final Settlement Amount, Non-defaulting Party shall provide Defaulting Party with a statement showing the calculation of the Final Settlement Amount.  The Final Settlement Amount shall be payable by the appropriate Party from whom such payment is due on the third Business Day after the statement is provided.  In the event of a dispute as to the Final Settlement Amount payable by a Party, such Party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as to which moneys are payable to the Non-defaulting Party; provided, such rate shall not exceed the maximum non-usurious interest rate, if any, that at any time or from time to time may be contracted for, taken reserved, charged, or received thereon under any applicable law.</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based on the exchange rate published in the Wall Street Journal for same.</w:t>
      </w:r>
    </w:p>
    <w:p>
      <w:pPr>
        <w:pStyle w:val="OmniPage5"/>
        <w:ind w:firstLine="710" w:start="53" w:end="139"/>
        <w:jc w:val="both"/>
        <w:rPr>
          <w:sz w:val="22"/>
        </w:rPr>
      </w:pPr>
      <w:r>
        <w:rPr>
          <w:sz w:val="22"/>
        </w:rPr>
      </w:r>
    </w:p>
    <w:p>
      <w:pPr>
        <w:pStyle w:val="OmniPage5"/>
        <w:ind w:firstLine="698" w:start="80" w:end="109"/>
        <w:jc w:val="both"/>
        <w:rPr/>
      </w:pPr>
      <w:r>
        <w:rPr>
          <w:b/>
          <w:bCs/>
          <w:sz w:val="22"/>
        </w:rPr>
        <w:t>6.  Security Interest and Lien; Letters of Credit</w:t>
      </w:r>
      <w:r>
        <w:rPr>
          <w:sz w:val="22"/>
        </w:rPr>
        <w:t xml:space="preserve">.  (a)  Each Enron Party hereby grants to each PG&amp;E Party a continuing security interest in and assigns (notwithstanding any limitation in any of the Underlying Master Agreements) to each PG&amp;E Party (A) all securities, monies, or other property now or hereafter held or carried in accordance with the Underlying Master Agreements by any PG&amp;E Party in any accounts of any Enron Party or otherwise held or subject to the control or dominion of any PG&amp;E Party or any agent thereof (including any margin posted) under the Underlying Master Agreements, (B) any rights any Enron Party has in any Obligations of any PG&amp;E Party, and (C) all proceeds of or distributions on any of the foregoing, as security for each PG&amp;E Party's Obligations under the Underlying Master Agreements.  In furtherance of the foregoing, any Underlying Master Agreements more particularly describing any property that is Collateral (as defined below) is hereby incorporated by reference herein as if fully set forth herein. </w:t>
      </w:r>
    </w:p>
    <w:p>
      <w:pPr>
        <w:pStyle w:val="OmniPage5"/>
        <w:ind w:firstLine="620" w:start="100" w:end="100"/>
        <w:jc w:val="both"/>
        <w:rPr>
          <w:sz w:val="22"/>
        </w:rPr>
      </w:pPr>
      <w:r>
        <w:rPr>
          <w:sz w:val="22"/>
        </w:rPr>
      </w:r>
    </w:p>
    <w:p>
      <w:pPr>
        <w:pStyle w:val="OmniPage5"/>
        <w:ind w:firstLine="620" w:start="100" w:end="100"/>
        <w:jc w:val="both"/>
        <w:rPr>
          <w:sz w:val="22"/>
        </w:rPr>
      </w:pPr>
      <w:r>
        <w:rPr>
          <w:sz w:val="22"/>
        </w:rPr>
        <w:t xml:space="preserve">(b)  Each PG&amp;E Party hereby grants to each Enron Party a continuing security interest in and assigns (notwithstanding any limitation in any of the Underlying Master Agreements) to each Enron Party (A) all securities, monies, or other property now or hereafter held or carried in accordance with the Underlying Master Agreements by any Enron Party in any accounts of any PG&amp;E Party or otherwise held or subject to the control or dominion of any Enron Party or any agent thereof (including any margin posted) under the Underlying Master Agreements, (B) any rights any PG&amp;E Party has in any Obligations of any Enron Party, and (C) all proceeds of or distributions on any of the foregoing, as security for each PG&amp;E Party's Obligations under the Underlying Master Agreements.  In furtherance of the foregoing, any Underlying Master Agreements more particularly describing any property that is Collateral (as defined below) is hereby incorporated by reference herein as if fully set forth herein.  </w:t>
      </w:r>
    </w:p>
    <w:p>
      <w:pPr>
        <w:pStyle w:val="OmniPage5"/>
        <w:ind w:firstLine="620" w:start="100" w:end="100"/>
        <w:jc w:val="both"/>
        <w:rPr>
          <w:sz w:val="22"/>
        </w:rPr>
      </w:pPr>
      <w:r>
        <w:rPr>
          <w:sz w:val="22"/>
        </w:rPr>
      </w:r>
    </w:p>
    <w:p>
      <w:pPr>
        <w:pStyle w:val="OmniPage5"/>
        <w:ind w:firstLine="620" w:start="100" w:end="100"/>
        <w:jc w:val="both"/>
        <w:rPr/>
      </w:pPr>
      <w:r>
        <w:rPr>
          <w:sz w:val="22"/>
        </w:rPr>
        <w:t>All property set forth in the foregoing paragraphs (a) and (b), and all letters of credit posted in respect of any Obligations ("</w:t>
      </w:r>
      <w:r>
        <w:rPr>
          <w:sz w:val="22"/>
          <w:u w:val="single"/>
        </w:rPr>
        <w:t>Letters of Credit</w:t>
      </w:r>
      <w:r>
        <w:rPr>
          <w:sz w:val="22"/>
        </w:rPr>
        <w:t>"), are referred to herein as "</w:t>
      </w:r>
      <w:r>
        <w:rPr>
          <w:sz w:val="22"/>
          <w:u w:val="single"/>
        </w:rPr>
        <w:t>Collateral</w:t>
      </w:r>
      <w:r>
        <w:rPr>
          <w:sz w:val="22"/>
        </w:rPr>
        <w:t>."</w:t>
      </w:r>
    </w:p>
    <w:p>
      <w:pPr>
        <w:pStyle w:val="Normal"/>
        <w:jc w:val="both"/>
        <w:rPr>
          <w:sz w:val="22"/>
        </w:rPr>
      </w:pPr>
      <w:r>
        <w:rPr>
          <w:sz w:val="22"/>
        </w:rPr>
      </w:r>
    </w:p>
    <w:p>
      <w:pPr>
        <w:pStyle w:val="OmniPage5"/>
        <w:ind w:firstLine="620" w:start="100" w:end="100"/>
        <w:jc w:val="both"/>
        <w:rPr>
          <w:sz w:val="22"/>
        </w:rPr>
      </w:pPr>
      <w:r>
        <w:rPr>
          <w:sz w:val="22"/>
        </w:rPr>
        <w:t xml:space="preserve">(c)  Each Enron Party agrees to act as the agent and bailee of each other Enron Party in respect of the Collateral and shall hold any Collateral both as secured party and as agent and bailee of each other Enron Party as a secured party.  Any draw made upon a Letter of Credit by any Enron Party may be exercised for the benefit of any other Enron Party.  Each PG&amp;E Party hereby irrevocably appoints each Enron Party severally to be its attorney in the name of and on behalf and as the act and deed of such PG&amp;E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  </w:t>
      </w:r>
    </w:p>
    <w:p>
      <w:pPr>
        <w:pStyle w:val="OmniPage5"/>
        <w:ind w:firstLine="620" w:start="100" w:end="100"/>
        <w:jc w:val="both"/>
        <w:rPr>
          <w:sz w:val="22"/>
        </w:rPr>
      </w:pPr>
      <w:r>
        <w:rPr>
          <w:sz w:val="22"/>
        </w:rPr>
      </w:r>
    </w:p>
    <w:p>
      <w:pPr>
        <w:pStyle w:val="OmniPage5"/>
        <w:ind w:firstLine="620" w:start="100" w:end="100"/>
        <w:jc w:val="both"/>
        <w:rPr>
          <w:sz w:val="22"/>
        </w:rPr>
      </w:pPr>
      <w:r>
        <w:rPr>
          <w:sz w:val="22"/>
        </w:rPr>
        <w:t>(d)  Each PG&amp;E Party agrees to act as the agent and bailee of each other PG&amp;E Party in respect of the Collateral and shall hold any Collateral both as secured party and as agent and bailee of each other PG&amp;E Party as a secured party.  Any draw made upon a Letter of Credit by any PG&amp;E Party may be exercised for the benefit of any other PG&amp;E Party.  Each Enron Party hereby irrevocably appoints each PG&amp;E Party severally to be its attorney in the name of and on behalf and as the act and deed of such Enron Party or otherwise under a power coupled with an interest to execute, sign, seal, and deliver any documents which each PG&amp;E Party may require for perfecting its security interest in the Collateral or upon the occurrence of a Default vesting the Collateral in each PG&amp;E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PG&amp;E Parties' rights hereunder or otherwise.</w:t>
      </w:r>
    </w:p>
    <w:p>
      <w:pPr>
        <w:pStyle w:val="OmniPage5"/>
        <w:ind w:firstLine="620" w:start="100" w:end="100"/>
        <w:jc w:val="both"/>
        <w:rPr>
          <w:sz w:val="22"/>
        </w:rPr>
      </w:pPr>
      <w:r>
        <w:rPr>
          <w:sz w:val="22"/>
        </w:rPr>
      </w:r>
    </w:p>
    <w:p>
      <w:pPr>
        <w:pStyle w:val="OmniPage5"/>
        <w:ind w:firstLine="620" w:start="100" w:end="100"/>
        <w:jc w:val="both"/>
        <w:rPr>
          <w:b/>
          <w:bCs/>
          <w:sz w:val="22"/>
        </w:rPr>
      </w:pPr>
      <w:r>
        <w:rPr>
          <w:sz w:val="22"/>
        </w:rPr>
        <w:t>(e)  Notwithstanding any provisions of any of the Underlying Master Agreements, all Letters of Credit permitted as credit support thereunder issued for the account of any PG&amp;E Party after the date hereof shall name each Enron Party as a beneficiary thereof, and all Letters of Credit permitted as credit support thereunder issued for the account of any Enron Party after the date hereof shall name each PG&amp;E Party as a beneficiary thereof, and in each case shall provide for the joint and several right of each beneficiary to draw thereon upon the occurrence of a Default under this Agreement and any other drawing condition set forth therein.  Each of the Parties agree and covenant to each other to forthwith and without delay cause the amendment or reestablishment of all Letters of Credit previously issued for its account pursuant to the Underlying Master Agreements to provide for an additional drawing condition of a Default under this Agreement.  With respect to Letters of Credit issued for the account of any PG&amp;E Party, the Parties agree that prior to the actual amendment of such Letters of Credit in accordance with the foregoing criteria, such Letters of Credit shall be deemed to have been amended to create as an alternative drawing condition thereunder the occurrence of a Default under this Agreement.  With respect to Letters of Credit issued for the account of any Enron Party, the Parties agree that prior to the actual amendment of such Letters of Credit in accordance with the foregoing criteria, such Letters of Credit shall be deemed to have been amended to create as an alternative drawing condition thereunder the occurrence of a Default under this Agreement.  The PG&amp;E Parties and the Enron Parties further agree that (A) the execution of this Agreement shall evidence their directive to the issuer of each such Letter of Credit to recognize and give effect to any draw by any Enron Party or any PG&amp;E Party, respectively, in accordance with the foregoing, all as if each such Letter of Credit had been amended in accordance with the foregoing terms, and (B) any drawing certificate to which an executed copy of this Agreement is attached shall satisfy the drawing requirements of each such Letter of Credit to the extent that such draw is based upon the occurrence of a Default under this Agreement.  Each Party hereby authorizes the issuer of any Letter of Credit to make payment thereon in accordance with the terms hereof.  Notwithstanding the foregoing, nothing contained herein shall alter the right of any original beneficiary party to any Letter of Credit to draw upon such Letter of Credit in accordance with its terms; provided, no draw may be made by any Enron Party on the basis of any act or omission to act, or other event in respect of any of the Existing PG&amp;E Guarantors under the guaranties that are replaced and superceded by the PG&amp;E Guaranty Agreement.</w:t>
      </w:r>
    </w:p>
    <w:p>
      <w:pPr>
        <w:pStyle w:val="OmniPage5"/>
        <w:ind w:firstLine="620" w:start="100" w:end="100"/>
        <w:jc w:val="both"/>
        <w:rPr>
          <w:b/>
          <w:bCs/>
          <w:sz w:val="22"/>
        </w:rPr>
      </w:pPr>
      <w:r>
        <w:rPr>
          <w:b/>
          <w:bCs/>
          <w:sz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and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Each Party represents and warrants to the other that it has not assigned, transferred, created, or permitted to exist any lien or other encumbrance on, or otherwise disposed of, or purported to assign, transfer, create, or permit to exist any lien or other encumbrance on, or otherwise dispose of, any of its rights to any amounts that may be owed to it under any of the Underlying Master Agreements to any third party, and covenants that, so long as this Agreement is in effect, it will not assign, transfer, create, or permit to exist any lien or other encumbrance on, or otherwise dispose of, any of its rights to any amounts that may be owed to it under any of the Underlying Master Agreements, to any third party.</w:t>
      </w:r>
    </w:p>
    <w:p>
      <w:pPr>
        <w:pStyle w:val="Normal"/>
        <w:jc w:val="both"/>
        <w:rPr>
          <w:sz w:val="22"/>
        </w:rPr>
      </w:pPr>
      <w:r>
        <w:rPr>
          <w:sz w:val="22"/>
        </w:rPr>
      </w:r>
    </w:p>
    <w:p>
      <w:pPr>
        <w:pStyle w:val="OmniPage5"/>
        <w:ind w:firstLine="722" w:start="87" w:end="10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The use of headings and subheadings in this Agreement, and the division of this Agreement into sections and sub</w:t>
        <w:noBreakHyphen/>
        <w:t>sections, are for convenience of reference only and shall not affect the interpretation or construction of this Agreement.</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jurisdiction specified in the Underlying Master Agreements; provided, in the event of any inconsistency as to the governing law under any of the Underlying Master Agreements, this Agreement shall be construed in accordance with the substantive law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Jurisdiction.  </w:t>
      </w:r>
      <w:r>
        <w:rPr>
          <w:bCs/>
          <w:sz w:val="22"/>
        </w:rPr>
        <w:t>Subject to Section 16, a</w:t>
      </w:r>
      <w:r>
        <w:rPr>
          <w:sz w:val="22"/>
        </w:rPr>
        <w:t>ny provisions in the Underlying Master Agreements regarding jurisdiction,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 xml:space="preserve">Any assignment or other transfer of an Underlying Master Agreement and Transactions subject thereto by any Enron Party to an Enron Affiliate or by any PG&amp;E Party to a PG&amp;E Affiliate under an Underlying Master Agreement shall be made subject to this Agreement and provide that such assignee or other transferee executes this Agreement as a condition to the effectiveness of any such assignment or other transfer.  Other than as provided in the preceding sentence, this Agreement shall not be assigned </w:t>
      </w:r>
      <w:r>
        <w:rPr>
          <w:sz w:val="22"/>
        </w:rPr>
        <w:t xml:space="preserve">(whether by way of security or otherwise) </w:t>
      </w:r>
      <w:r>
        <w:rPr>
          <w:bCs/>
          <w:sz w:val="22"/>
        </w:rPr>
        <w:t xml:space="preserve">by any PG&amp;E Party or any Enron Party without the prior written consent of the Enron Parties or the PG&amp;E Parties, respectively.  This Agreement may not be amended by any Party without the prior written consent of all of the Parties.  Any purported assignment or other transfer or amendment that is not in compliance herewith shall be void.  [NEED TO DISCUSS PG&amp;E COMMENTS]  </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Any and all notices, statements, demands, or other communications hereunder may be given by a Party to the other Party in writing by mail, facsimile, e</w:t>
        <w:noBreakHyphen/>
        <w:t>mail, electronic message, or messenger, to the individuals and at the facsimile numbers, e</w:t>
        <w:noBreakHyphen/>
        <w:t>mail addresses, or other locations as appropriate and as set forth in the Underlying Master Agreements. In the event there is an inconsistency in the notice provisions of the Underlying Master Agreements, notice that is in substantial compliance with such provision in any of the Underlying Master Agreements shall be effective notice hereunder.  Any notice, statement, demand, or other communication hereunder will be deemed delivered on the day and at the time on which it is received.</w:t>
      </w:r>
    </w:p>
    <w:p>
      <w:pPr>
        <w:pStyle w:val="Normal"/>
        <w:jc w:val="both"/>
        <w:rPr>
          <w:sz w:val="22"/>
        </w:rPr>
      </w:pPr>
      <w:r>
        <w:rPr>
          <w:sz w:val="22"/>
        </w:rPr>
      </w:r>
    </w:p>
    <w:p>
      <w:pPr>
        <w:pStyle w:val="OmniPage6"/>
        <w:ind w:firstLine="724" w:start="79" w:end="193"/>
        <w:jc w:val="both"/>
        <w:rPr/>
      </w:pPr>
      <w:r>
        <w:rPr>
          <w:b/>
          <w:bCs/>
          <w:sz w:val="22"/>
        </w:rPr>
        <w:t>13.</w:t>
      </w:r>
      <w:r>
        <w:rPr>
          <w:sz w:val="22"/>
        </w:rPr>
        <w:t xml:space="preserve">  </w:t>
      </w:r>
      <w:r>
        <w:rPr>
          <w:b/>
          <w:sz w:val="22"/>
        </w:rPr>
        <w:t xml:space="preserve">Conflicts and Inconsistencies.  </w:t>
      </w:r>
      <w:r>
        <w:rPr>
          <w:sz w:val="22"/>
        </w:rPr>
        <w:t>In the event of any conflict or inconsistency between this Agreement and any of the Underlying Master Agreements concerning the matters set forth in this Agreement, the provisions of this Agreement shall govern.</w:t>
      </w:r>
    </w:p>
    <w:p>
      <w:pPr>
        <w:pStyle w:val="OmniPage6"/>
        <w:ind w:firstLine="724" w:start="79" w:end="193"/>
        <w:jc w:val="both"/>
        <w:rPr>
          <w:sz w:val="22"/>
        </w:rPr>
      </w:pPr>
      <w:r>
        <w:rPr>
          <w:sz w:val="22"/>
        </w:rPr>
      </w:r>
    </w:p>
    <w:p>
      <w:pPr>
        <w:pStyle w:val="Normal"/>
        <w:tabs>
          <w:tab w:val="clear" w:pos="720"/>
          <w:tab w:val="left" w:pos="1260" w:leader="none"/>
        </w:tabs>
        <w:ind w:firstLine="720" w:end="0"/>
        <w:jc w:val="both"/>
        <w:rPr/>
      </w:pPr>
      <w:r>
        <w:rPr>
          <w:b/>
          <w:sz w:val="22"/>
        </w:rPr>
        <w:t xml:space="preserve"> </w:t>
      </w:r>
      <w:r>
        <w:rPr>
          <w:b/>
          <w:sz w:val="22"/>
        </w:rPr>
        <w:t>14.</w:t>
        <w:tab/>
        <w:t xml:space="preserve"> Continuation of Master Agreements and Severability.</w:t>
      </w:r>
      <w:r>
        <w:rPr>
          <w:sz w:val="22"/>
        </w:rPr>
        <w:t xml:space="preserve">  (a)  Except as amended by this Agreement, the Underlying Master Agreements shall remain in full force and effect and nothing set forth in this Agreement shall affect or adversely impact any Party's rights and remedies (including, without limitation, any right to call for collateral) under any Underlying Master Agreement based on events that have occurred with respect to any Party or any credit support provider of any Party prior to the date of this Agreement; provided, the Enron Parties agree and acknowledge that any event of default that occurred prior to the date hereof under any Underlying Master Agreement as a result of the downgrade of PG&amp;E Corporation's Credit Rating will be cured by the transactions contemplated in that certain Assignment and Assumption Agreement of even date herewith by and among certain of the Enron Parties, PG&amp;E Guarantors, and PG&amp;E Corporation.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(b)  If Sections 2 or 3 hereof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w:t>
        <w:tab/>
        <w:t xml:space="preserve">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ind w:firstLine="720" w:end="0"/>
        <w:jc w:val="both"/>
        <w:rPr/>
      </w:pPr>
      <w:r>
        <w:rPr>
          <w:b/>
          <w:bCs/>
          <w:sz w:val="22"/>
        </w:rPr>
        <w:t>16.</w:t>
        <w:tab/>
        <w:t xml:space="preserve">Arbitration.  </w:t>
      </w:r>
      <w:r>
        <w:rPr>
          <w:sz w:val="22"/>
          <w:szCs w:val="22"/>
        </w:rPr>
        <w:t>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with alternating sessions in the home office of Enron Corp. and PG&amp;E Corporation.  Within thirty days of the notice of initiation of the arbitration procedure, each of the Enron Parties and the PG&amp;E Parties shall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The two Party-appointed arbitrators shall not have had prior  relationships with any Party.  To the fullest extent permitted by law, any arbitration proceeding and the arbitrators' award shall be maintained in confidence by the Parties.</w:t>
      </w:r>
    </w:p>
    <w:p>
      <w:pPr>
        <w:pStyle w:val="Normal"/>
        <w:ind w:start="720" w:end="0"/>
        <w:jc w:val="both"/>
        <w:rPr>
          <w:sz w:val="22"/>
          <w:szCs w:val="22"/>
        </w:rPr>
      </w:pPr>
      <w:r>
        <w:rPr>
          <w:sz w:val="22"/>
          <w:szCs w:val="22"/>
        </w:rPr>
      </w:r>
    </w:p>
    <w:p>
      <w:pPr>
        <w:pStyle w:val="Normal"/>
        <w:ind w:firstLine="720" w:end="0"/>
        <w:jc w:val="both"/>
        <w:rPr/>
      </w:pPr>
      <w:r>
        <w:rPr>
          <w:b/>
          <w:bCs/>
          <w:sz w:val="22"/>
          <w:szCs w:val="22"/>
        </w:rPr>
        <w:t>17.</w:t>
        <w:tab/>
        <w:t xml:space="preserve">PG&amp;E Guaranty Agreement.  </w:t>
      </w:r>
      <w:r>
        <w:rPr>
          <w:sz w:val="22"/>
          <w:szCs w:val="22"/>
        </w:rPr>
        <w:t xml:space="preserve">The Parties hereto acknowledge and agree that (a) any and all references in any of the Underlying Master Agreements to one or more "credit support providers" of any of the PG&amp;E Parties (collectively, the "Existing PG&amp;E Guarantors") shall, as of the date of this Agreement, refer to and mean each of the PG&amp;E Guarantors, and (b) any guaranty agreement referred to in any Underlying Master Agreement from an Existing PG&amp;E Guarantor shall, as of the date of this Agreement, be superceded and replaced by the PG&amp;E Guaranty Agreement, and such PG&amp;E Guaranty Agreement shall become "credit support document" under each such Underlying Master Agreement.  </w:t>
      </w:r>
      <w:r>
        <w:rPr>
          <w:b/>
          <w:bCs/>
          <w:sz w:val="22"/>
          <w:szCs w:val="22"/>
        </w:rPr>
        <w:tab/>
        <w:t xml:space="preserve">    </w:t>
        <w:tab/>
      </w:r>
    </w:p>
    <w:p>
      <w:pPr>
        <w:pStyle w:val="Normal"/>
        <w:ind w:firstLine="720" w:end="0"/>
        <w:jc w:val="both"/>
        <w:rPr/>
      </w:pPr>
      <w:r>
        <w:rPr>
          <w:b/>
          <w:bCs/>
          <w:sz w:val="22"/>
          <w:szCs w:val="22"/>
        </w:rPr>
        <w:t>18.</w:t>
        <w:tab/>
        <w:t>Term.</w:t>
        <w:tab/>
        <w:t xml:space="preserve"> </w:t>
      </w:r>
      <w:r>
        <w:rPr>
          <w:sz w:val="22"/>
          <w:szCs w:val="22"/>
        </w:rPr>
        <w:t xml:space="preserve">This Agreement shall continue from the date hereof for a period to and including December 31, 2001.  </w:t>
      </w:r>
    </w:p>
    <w:p>
      <w:pPr>
        <w:pStyle w:val="Normal"/>
        <w:jc w:val="both"/>
        <w:rPr>
          <w:sz w:val="22"/>
          <w:szCs w:val="22"/>
        </w:rPr>
      </w:pPr>
      <w:r>
        <w:rPr>
          <w:sz w:val="22"/>
          <w:szCs w:val="22"/>
        </w:rPr>
      </w:r>
      <w:r>
        <w:br w:type="page"/>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PARTIES"</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OmniPage6"/>
        <w:jc w:val="both"/>
        <w:rPr>
          <w:b/>
          <w:bCs/>
          <w:sz w:val="22"/>
        </w:rPr>
      </w:pPr>
      <w:r>
        <w:rPr>
          <w:b/>
          <w:bCs/>
          <w:sz w:val="22"/>
        </w:rPr>
        <w:t>ENRON CANADA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OmniPage6"/>
        <w:jc w:val="both"/>
        <w:rPr>
          <w:b/>
          <w:bCs/>
          <w:sz w:val="22"/>
        </w:rPr>
      </w:pPr>
      <w:r>
        <w:rPr>
          <w:b/>
          <w:bCs/>
          <w:sz w:val="22"/>
        </w:rPr>
        <w:t>ENRON POWER MARKETING, INC.</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OmniPage6"/>
        <w:jc w:val="both"/>
        <w:rPr>
          <w:b/>
          <w:bCs/>
          <w:sz w:val="22"/>
        </w:rPr>
      </w:pPr>
      <w:r>
        <w:rPr>
          <w:b/>
          <w:bCs/>
          <w:sz w:val="22"/>
        </w:rPr>
        <w:t>ENRON ENERGY SERVICES, INC.</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OmniPage6"/>
        <w:jc w:val="both"/>
        <w:rPr>
          <w:b/>
          <w:bCs/>
          <w:sz w:val="22"/>
        </w:rPr>
      </w:pPr>
      <w:r>
        <w:rPr>
          <w:b/>
          <w:bCs/>
          <w:sz w:val="22"/>
        </w:rPr>
        <w:t>ENRON COAL SERVICES LIMITED</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OmniPage6"/>
        <w:jc w:val="both"/>
        <w:rPr>
          <w:b/>
          <w:bCs/>
          <w:sz w:val="22"/>
        </w:rPr>
      </w:pPr>
      <w:r>
        <w:rPr>
          <w:b/>
          <w:bCs/>
          <w:sz w:val="22"/>
        </w:rPr>
        <w:t>ENRON ENERGY MARKETING COMPANY</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OmniPage6"/>
        <w:jc w:val="both"/>
        <w:rPr>
          <w:b/>
          <w:bCs/>
          <w:sz w:val="22"/>
        </w:rPr>
      </w:pPr>
      <w:r>
        <w:rPr>
          <w:b/>
          <w:bCs/>
          <w:sz w:val="22"/>
        </w:rPr>
        <w:t>HOUSTON PIPE LINE COMPANY</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b/>
          <w:bCs/>
          <w:sz w:val="22"/>
        </w:rPr>
      </w:pPr>
      <w:r>
        <w:rPr>
          <w:b/>
          <w:bCs/>
          <w:sz w:val="22"/>
        </w:rPr>
        <w:t xml:space="preserve">HPL RESOURCES COMPANY </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b/>
          <w:bCs/>
          <w:sz w:val="22"/>
        </w:rPr>
      </w:pPr>
      <w:r>
        <w:rPr>
          <w:b/>
          <w:bCs/>
          <w:sz w:val="22"/>
        </w:rPr>
        <w:t>ENRON GAS LIQUIDS, INC.</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r>
      <w:r>
        <w:br w:type="page"/>
      </w:r>
    </w:p>
    <w:p>
      <w:pPr>
        <w:pStyle w:val="Normal"/>
        <w:jc w:val="both"/>
        <w:rPr>
          <w:sz w:val="22"/>
        </w:rPr>
      </w:pPr>
      <w:r>
        <w:rPr>
          <w:sz w:val="22"/>
        </w:rPr>
      </w:r>
    </w:p>
    <w:p>
      <w:pPr>
        <w:pStyle w:val="Normal"/>
        <w:jc w:val="both"/>
        <w:rPr>
          <w:b/>
          <w:bCs/>
          <w:sz w:val="22"/>
        </w:rPr>
      </w:pPr>
      <w:r>
        <w:rPr>
          <w:b/>
          <w:bCs/>
          <w:sz w:val="22"/>
        </w:rPr>
        <w:t>"PG&amp;E PARTIES"</w:t>
      </w:r>
    </w:p>
    <w:p>
      <w:pPr>
        <w:pStyle w:val="Normal"/>
        <w:jc w:val="both"/>
        <w:rPr>
          <w:b/>
          <w:bCs/>
          <w:sz w:val="22"/>
        </w:rPr>
      </w:pPr>
      <w:r>
        <w:rPr>
          <w:b/>
          <w:bCs/>
          <w:sz w:val="22"/>
        </w:rPr>
      </w:r>
    </w:p>
    <w:p>
      <w:pPr>
        <w:pStyle w:val="Normal"/>
        <w:jc w:val="both"/>
        <w:rPr>
          <w:b/>
          <w:bCs/>
          <w:sz w:val="22"/>
        </w:rPr>
      </w:pPr>
      <w:r>
        <w:rPr>
          <w:b/>
          <w:bCs/>
          <w:sz w:val="22"/>
        </w:rPr>
        <w:t>PG&amp;E ENERGY TRADING-GAS CORPORATION</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b/>
          <w:bCs/>
          <w:sz w:val="22"/>
        </w:rPr>
      </w:pPr>
      <w:r>
        <w:rPr>
          <w:b/>
          <w:bCs/>
          <w:sz w:val="22"/>
        </w:rPr>
        <w:t>PG&amp;E ENERGY TRADING, CANADA CORPORATION</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Normal"/>
        <w:jc w:val="both"/>
        <w:rPr>
          <w:sz w:val="22"/>
        </w:rPr>
      </w:pPr>
      <w:r>
        <w:rPr>
          <w:sz w:val="22"/>
        </w:rPr>
        <w:t>TITLE:  _____________________________________</w:t>
      </w:r>
    </w:p>
    <w:p>
      <w:pPr>
        <w:pStyle w:val="Normal"/>
        <w:jc w:val="both"/>
        <w:rPr>
          <w:sz w:val="22"/>
        </w:rPr>
      </w:pPr>
      <w:r>
        <w:rPr>
          <w:sz w:val="22"/>
        </w:rPr>
      </w:r>
    </w:p>
    <w:p>
      <w:pPr>
        <w:pStyle w:val="Normal"/>
        <w:jc w:val="both"/>
        <w:rPr>
          <w:b/>
          <w:bCs/>
          <w:sz w:val="22"/>
        </w:rPr>
      </w:pPr>
      <w:r>
        <w:rPr>
          <w:b/>
          <w:bCs/>
          <w:sz w:val="22"/>
        </w:rPr>
        <w:t>PG&amp;E ENERGY TRADING-POWER, L.P.</w:t>
      </w:r>
    </w:p>
    <w:p>
      <w:pPr>
        <w:pStyle w:val="Normal"/>
        <w:jc w:val="both"/>
        <w:rPr>
          <w:sz w:val="22"/>
        </w:rPr>
      </w:pPr>
      <w:r>
        <w:rPr>
          <w:sz w:val="22"/>
        </w:rPr>
        <w:t>BY ________________________________________</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Normal"/>
        <w:jc w:val="both"/>
        <w:rPr>
          <w:sz w:val="22"/>
        </w:rPr>
      </w:pPr>
      <w:r>
        <w:rPr>
          <w:sz w:val="22"/>
        </w:rPr>
        <w:t>TITLE:  _____________________________________</w:t>
      </w:r>
    </w:p>
    <w:p>
      <w:pPr>
        <w:pStyle w:val="Normal"/>
        <w:jc w:val="both"/>
        <w:rPr>
          <w:sz w:val="22"/>
        </w:rPr>
      </w:pPr>
      <w:r>
        <w:rPr>
          <w:sz w:val="22"/>
        </w:rPr>
      </w:r>
    </w:p>
    <w:p>
      <w:pPr>
        <w:pStyle w:val="Normal"/>
        <w:jc w:val="both"/>
        <w:rPr>
          <w:b/>
          <w:bCs/>
          <w:sz w:val="22"/>
        </w:rPr>
      </w:pPr>
      <w:r>
        <w:rPr>
          <w:b/>
          <w:bCs/>
          <w:sz w:val="22"/>
        </w:rPr>
        <w:t>PG&amp;E ENERGY SERVICES, ENERGY TRADING CORP.</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Normal"/>
        <w:jc w:val="both"/>
        <w:rPr>
          <w:sz w:val="22"/>
        </w:rPr>
      </w:pPr>
      <w:r>
        <w:rPr>
          <w:sz w:val="22"/>
        </w:rPr>
        <w:t>TITLE:  _____________________________________</w:t>
      </w:r>
    </w:p>
    <w:p>
      <w:pPr>
        <w:pStyle w:val="Normal"/>
        <w:jc w:val="both"/>
        <w:rPr>
          <w:b/>
          <w:bCs/>
          <w:sz w:val="22"/>
        </w:rPr>
      </w:pPr>
      <w:r>
        <w:rPr>
          <w:b/>
          <w:bCs/>
          <w:sz w:val="22"/>
        </w:rPr>
      </w:r>
    </w:p>
    <w:p>
      <w:pPr>
        <w:pStyle w:val="Normal"/>
        <w:jc w:val="both"/>
        <w:rPr>
          <w:b/>
          <w:bCs/>
          <w:sz w:val="22"/>
        </w:rPr>
      </w:pPr>
      <w:r>
        <w:rPr>
          <w:b/>
          <w:bCs/>
          <w:sz w:val="22"/>
        </w:rPr>
        <w:t>PG&amp;E NGL MARKETING LP</w:t>
      </w:r>
    </w:p>
    <w:p>
      <w:pPr>
        <w:pStyle w:val="Normal"/>
        <w:jc w:val="both"/>
        <w:rPr>
          <w:sz w:val="22"/>
        </w:rPr>
      </w:pPr>
      <w:r>
        <w:rPr>
          <w:sz w:val="22"/>
        </w:rPr>
        <w:t>BY________________________________________</w:t>
      </w:r>
    </w:p>
    <w:p>
      <w:pPr>
        <w:pStyle w:val="Normal"/>
        <w:jc w:val="both"/>
        <w:rPr>
          <w:sz w:val="22"/>
        </w:rPr>
      </w:pPr>
      <w:r>
        <w:rPr>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Normal"/>
        <w:jc w:val="both"/>
        <w:rPr>
          <w:sz w:val="22"/>
        </w:rPr>
      </w:pPr>
      <w:r>
        <w:rPr>
          <w:sz w:val="22"/>
        </w:rPr>
        <w:t>TITLE:  _____________________________________</w:t>
      </w:r>
    </w:p>
    <w:p>
      <w:pPr>
        <w:pStyle w:val="Normal"/>
        <w:jc w:val="both"/>
        <w:rPr>
          <w:b/>
          <w:bCs/>
          <w:sz w:val="22"/>
        </w:rPr>
      </w:pPr>
      <w:r>
        <w:rPr>
          <w:b/>
          <w:bCs/>
          <w:sz w:val="22"/>
        </w:rPr>
      </w:r>
    </w:p>
    <w:p>
      <w:pPr>
        <w:pStyle w:val="Normal"/>
        <w:jc w:val="both"/>
        <w:rPr>
          <w:b/>
          <w:bCs/>
          <w:sz w:val="22"/>
        </w:rPr>
      </w:pPr>
      <w:r>
        <w:rPr>
          <w:b/>
          <w:bCs/>
          <w:sz w:val="22"/>
        </w:rPr>
        <w:t>PG&amp;E TEXAS INDUSTRIAL ENERGY LP</w:t>
      </w:r>
    </w:p>
    <w:p>
      <w:pPr>
        <w:pStyle w:val="Normal"/>
        <w:jc w:val="both"/>
        <w:rPr>
          <w:sz w:val="22"/>
        </w:rPr>
      </w:pPr>
      <w:r>
        <w:rPr>
          <w:sz w:val="22"/>
        </w:rPr>
        <w:t>BY ________________________________________</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Normal"/>
        <w:jc w:val="both"/>
        <w:rPr>
          <w:sz w:val="22"/>
        </w:rPr>
      </w:pPr>
      <w:r>
        <w:rPr>
          <w:sz w:val="22"/>
        </w:rPr>
        <w:t>TITLE:  _____________________________________</w:t>
      </w:r>
    </w:p>
    <w:p>
      <w:pPr>
        <w:pStyle w:val="Normal"/>
        <w:jc w:val="both"/>
        <w:rPr>
          <w:b/>
          <w:bCs/>
          <w:sz w:val="22"/>
        </w:rPr>
      </w:pPr>
      <w:r>
        <w:rPr>
          <w:b/>
          <w:bCs/>
          <w:sz w:val="22"/>
        </w:rPr>
      </w:r>
    </w:p>
    <w:p>
      <w:pPr>
        <w:pStyle w:val="Normal"/>
        <w:jc w:val="both"/>
        <w:rPr>
          <w:b/>
          <w:bCs/>
          <w:sz w:val="22"/>
        </w:rPr>
      </w:pPr>
      <w:r>
        <w:rPr>
          <w:b/>
          <w:bCs/>
          <w:sz w:val="22"/>
        </w:rPr>
        <w:t>PG&amp;E TEXAS VGM LP</w:t>
      </w:r>
    </w:p>
    <w:p>
      <w:pPr>
        <w:pStyle w:val="Normal"/>
        <w:jc w:val="both"/>
        <w:rPr>
          <w:sz w:val="22"/>
        </w:rPr>
      </w:pPr>
      <w:r>
        <w:rPr>
          <w:sz w:val="22"/>
        </w:rPr>
        <w:t>BY ________________________________________</w:t>
      </w:r>
    </w:p>
    <w:p>
      <w:pPr>
        <w:pStyle w:val="Normal"/>
        <w:jc w:val="both"/>
        <w:rPr>
          <w:sz w:val="22"/>
        </w:rPr>
      </w:pPr>
      <w:r>
        <w:rPr>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Normal"/>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Heading1"/>
        <w:ind w:hanging="0" w:start="0"/>
        <w:rPr/>
      </w:pPr>
      <w:r>
        <w:rPr/>
        <w:t>ACCEPTED AND AGREED TO :</w:t>
      </w:r>
    </w:p>
    <w:p>
      <w:pPr>
        <w:pStyle w:val="Normal"/>
        <w:rPr>
          <w:sz w:val="22"/>
        </w:rPr>
      </w:pPr>
      <w:r>
        <w:rPr>
          <w:sz w:val="22"/>
        </w:rPr>
      </w:r>
    </w:p>
    <w:p>
      <w:pPr>
        <w:pStyle w:val="Normal"/>
        <w:rPr>
          <w:b/>
          <w:bCs/>
          <w:sz w:val="22"/>
        </w:rPr>
      </w:pPr>
      <w:r>
        <w:rPr>
          <w:b/>
          <w:bCs/>
          <w:sz w:val="22"/>
        </w:rPr>
        <w:t>"PG&amp;E GUARANTORS"</w:t>
      </w:r>
    </w:p>
    <w:p>
      <w:pPr>
        <w:pStyle w:val="Normal"/>
        <w:jc w:val="both"/>
        <w:rPr>
          <w:b/>
          <w:bCs/>
          <w:sz w:val="22"/>
        </w:rPr>
      </w:pPr>
      <w:r>
        <w:rPr>
          <w:b/>
          <w:bCs/>
          <w:sz w:val="22"/>
        </w:rPr>
      </w:r>
    </w:p>
    <w:p>
      <w:pPr>
        <w:pStyle w:val="Normal"/>
        <w:jc w:val="both"/>
        <w:rPr>
          <w:b/>
          <w:bCs/>
          <w:sz w:val="22"/>
        </w:rPr>
      </w:pPr>
      <w:r>
        <w:rPr>
          <w:b/>
          <w:bCs/>
          <w:sz w:val="22"/>
        </w:rPr>
        <w:t>PG&amp;E NATIONAL ENERGY GROUP, INC.</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Normal"/>
        <w:jc w:val="both"/>
        <w:rPr>
          <w:sz w:val="22"/>
        </w:rPr>
      </w:pPr>
      <w:r>
        <w:rPr>
          <w:sz w:val="22"/>
        </w:rPr>
        <w:t>TITLE:  _____________________________________</w:t>
      </w:r>
    </w:p>
    <w:p>
      <w:pPr>
        <w:pStyle w:val="Normal"/>
        <w:jc w:val="both"/>
        <w:rPr>
          <w:sz w:val="22"/>
        </w:rPr>
      </w:pPr>
      <w:r>
        <w:rPr>
          <w:sz w:val="22"/>
        </w:rPr>
      </w:r>
    </w:p>
    <w:p>
      <w:pPr>
        <w:pStyle w:val="Normal"/>
        <w:jc w:val="both"/>
        <w:rPr>
          <w:b/>
          <w:bCs/>
          <w:sz w:val="22"/>
        </w:rPr>
      </w:pPr>
      <w:r>
        <w:rPr>
          <w:b/>
          <w:bCs/>
          <w:sz w:val="22"/>
        </w:rPr>
        <w:t>PG&amp;E ENERGY TRADING HOLDINGS CORPORATION</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Normal"/>
        <w:jc w:val="both"/>
        <w:rPr>
          <w:sz w:val="22"/>
        </w:rPr>
      </w:pPr>
      <w:r>
        <w:rPr>
          <w:sz w:val="22"/>
        </w:rPr>
        <w:t>TITLE:  _____________________________________</w:t>
      </w:r>
    </w:p>
    <w:p>
      <w:pPr>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pStyle w:val="Normal"/>
        <w:jc w:val="both"/>
        <w:rPr>
          <w:sz w:val="22"/>
        </w:rPr>
      </w:pPr>
      <w:r>
        <w:rPr>
          <w:sz w:val="22"/>
        </w:rPr>
      </w:r>
    </w:p>
    <w:p>
      <w:pPr>
        <w:pStyle w:val="Normal"/>
        <w:jc w:val="both"/>
        <w:rPr>
          <w:b/>
          <w:bCs/>
          <w:sz w:val="22"/>
        </w:rPr>
      </w:pPr>
      <w:r>
        <w:rPr>
          <w:b/>
          <w:bCs/>
          <w:sz w:val="22"/>
        </w:rPr>
      </w:r>
    </w:p>
    <w:p>
      <w:pPr>
        <w:pStyle w:val="Normal"/>
        <w:jc w:val="center"/>
        <w:rPr>
          <w:b/>
          <w:bCs/>
          <w:sz w:val="22"/>
        </w:rPr>
      </w:pPr>
      <w:r>
        <w:rPr>
          <w:b/>
          <w:bCs/>
          <w:sz w:val="22"/>
        </w:rPr>
        <w:t>SCHEDULE I</w:t>
      </w:r>
    </w:p>
    <w:p>
      <w:pPr>
        <w:pStyle w:val="Normal"/>
        <w:jc w:val="center"/>
        <w:rPr>
          <w:b/>
          <w:bCs/>
          <w:sz w:val="22"/>
        </w:rPr>
      </w:pPr>
      <w:r>
        <w:rPr>
          <w:b/>
          <w:bCs/>
          <w:sz w:val="22"/>
        </w:rPr>
      </w:r>
    </w:p>
    <w:p>
      <w:pPr>
        <w:pStyle w:val="Normal"/>
        <w:jc w:val="center"/>
        <w:rPr>
          <w:b/>
          <w:bCs/>
          <w:sz w:val="22"/>
        </w:rPr>
      </w:pPr>
      <w:r>
        <w:rPr>
          <w:b/>
          <w:bCs/>
          <w:sz w:val="22"/>
        </w:rPr>
      </w:r>
    </w:p>
    <w:p>
      <w:pPr>
        <w:pStyle w:val="Normal"/>
        <w:jc w:val="center"/>
        <w:rPr>
          <w:b/>
          <w:bCs/>
          <w:sz w:val="22"/>
        </w:rPr>
      </w:pPr>
      <w:r>
        <w:rPr>
          <w:b/>
          <w:bCs/>
          <w:sz w:val="22"/>
        </w:rPr>
        <w:t>EXISTING UNDERLYING MASTER AGREEMENTS</w:t>
      </w:r>
      <w:r>
        <w:br w:type="page"/>
      </w:r>
    </w:p>
    <w:p>
      <w:pPr>
        <w:pStyle w:val="Normal"/>
        <w:rPr>
          <w:b/>
          <w:bCs/>
          <w:sz w:val="22"/>
        </w:rPr>
      </w:pPr>
      <w:r>
        <w:rPr>
          <w:b/>
          <w:bCs/>
          <w:sz w:val="22"/>
        </w:rPr>
      </w:r>
    </w:p>
    <w:tbl>
      <w:tblPr>
        <w:tblW w:w="9450" w:type="dxa"/>
        <w:jc w:val="start"/>
        <w:tblInd w:w="288" w:type="dxa"/>
        <w:tblLayout w:type="fixed"/>
        <w:tblCellMar>
          <w:top w:w="0" w:type="dxa"/>
          <w:start w:w="108" w:type="dxa"/>
          <w:bottom w:w="0" w:type="dxa"/>
          <w:end w:w="108" w:type="dxa"/>
        </w:tblCellMar>
      </w:tblPr>
      <w:tblGrid>
        <w:gridCol w:w="540"/>
        <w:gridCol w:w="1170"/>
        <w:gridCol w:w="2970"/>
        <w:gridCol w:w="1800"/>
        <w:gridCol w:w="2070"/>
        <w:gridCol w:w="900"/>
      </w:tblGrid>
      <w:tr>
        <w:trPr>
          <w:tblHeader w:val="true"/>
        </w:trPr>
        <w:tc>
          <w:tcPr>
            <w:tcW w:w="540" w:type="dxa"/>
            <w:tcBorders>
              <w:top w:val="single" w:sz="4" w:space="0" w:color="000000"/>
              <w:start w:val="single" w:sz="4" w:space="0" w:color="000000"/>
              <w:end w:val="single" w:sz="4" w:space="0" w:color="000000"/>
            </w:tcBorders>
          </w:tcPr>
          <w:p>
            <w:pPr>
              <w:pStyle w:val="Normal"/>
              <w:snapToGrid w:val="false"/>
              <w:ind w:end="-18"/>
              <w:jc w:val="center"/>
              <w:rPr>
                <w:rFonts w:ascii="Arial Narrow" w:hAnsi="Arial Narrow" w:cs="Arial Narrow"/>
                <w:b/>
                <w:sz w:val="14"/>
              </w:rPr>
            </w:pPr>
            <w:r>
              <w:rPr>
                <w:rFonts w:cs="Arial Narrow" w:ascii="Arial Narrow" w:hAnsi="Arial Narrow"/>
                <w:b/>
                <w:sz w:val="14"/>
              </w:rPr>
            </w:r>
          </w:p>
          <w:p>
            <w:pPr>
              <w:pStyle w:val="Normal"/>
              <w:ind w:end="-18"/>
              <w:rPr>
                <w:rFonts w:ascii="Arial Narrow" w:hAnsi="Arial Narrow" w:cs="Arial Narrow"/>
                <w:b/>
                <w:sz w:val="14"/>
              </w:rPr>
            </w:pPr>
            <w:r>
              <w:rPr>
                <w:rFonts w:cs="Arial Narrow" w:ascii="Arial Narrow" w:hAnsi="Arial Narrow"/>
                <w:b/>
                <w:sz w:val="14"/>
              </w:rPr>
              <w:t>No.</w:t>
            </w:r>
          </w:p>
        </w:tc>
        <w:tc>
          <w:tcPr>
            <w:tcW w:w="1170" w:type="dxa"/>
            <w:tcBorders>
              <w:top w:val="single" w:sz="4" w:space="0" w:color="000000"/>
              <w:start w:val="single" w:sz="4" w:space="0" w:color="000000"/>
              <w:end w:val="single" w:sz="4" w:space="0" w:color="000000"/>
            </w:tcBorders>
          </w:tcPr>
          <w:p>
            <w:pPr>
              <w:pStyle w:val="Heading2"/>
              <w:spacing w:before="240" w:after="60"/>
              <w:ind w:hanging="0" w:start="-108" w:end="0"/>
              <w:rPr>
                <w:rFonts w:ascii="Arial Narrow" w:hAnsi="Arial Narrow" w:cs="Arial Narrow"/>
                <w:sz w:val="14"/>
              </w:rPr>
            </w:pPr>
            <w:r>
              <w:rPr>
                <w:rFonts w:eastAsia="Arial Narrow" w:cs="Arial Narrow" w:ascii="Arial Narrow" w:hAnsi="Arial Narrow"/>
                <w:sz w:val="14"/>
              </w:rPr>
              <w:t xml:space="preserve"> </w:t>
            </w:r>
            <w:r>
              <w:rPr>
                <w:rFonts w:cs="Arial Narrow" w:ascii="Arial Narrow" w:hAnsi="Arial Narrow"/>
                <w:sz w:val="14"/>
              </w:rPr>
              <w:t>Date</w:t>
            </w:r>
          </w:p>
        </w:tc>
        <w:tc>
          <w:tcPr>
            <w:tcW w:w="2970" w:type="dxa"/>
            <w:tcBorders>
              <w:top w:val="single" w:sz="4" w:space="0" w:color="000000"/>
              <w:start w:val="single" w:sz="4" w:space="0" w:color="000000"/>
              <w:end w:val="single" w:sz="4" w:space="0" w:color="000000"/>
            </w:tcBorders>
          </w:tcPr>
          <w:p>
            <w:pPr>
              <w:pStyle w:val="Heading2"/>
              <w:spacing w:before="240" w:after="60"/>
              <w:ind w:hanging="0" w:start="0"/>
              <w:rPr>
                <w:rFonts w:ascii="Arial Narrow" w:hAnsi="Arial Narrow" w:cs="Arial Narrow"/>
                <w:sz w:val="14"/>
              </w:rPr>
            </w:pPr>
            <w:r>
              <w:rPr>
                <w:rFonts w:cs="Arial Narrow" w:ascii="Arial Narrow" w:hAnsi="Arial Narrow"/>
                <w:sz w:val="14"/>
              </w:rPr>
              <w:t>Contract Title</w:t>
            </w:r>
          </w:p>
        </w:tc>
        <w:tc>
          <w:tcPr>
            <w:tcW w:w="1800" w:type="dxa"/>
            <w:tcBorders>
              <w:top w:val="single" w:sz="4" w:space="0" w:color="000000"/>
              <w:start w:val="single" w:sz="4" w:space="0" w:color="000000"/>
              <w:end w:val="single" w:sz="4" w:space="0" w:color="000000"/>
            </w:tcBorders>
          </w:tcPr>
          <w:p>
            <w:pPr>
              <w:pStyle w:val="Heading2"/>
              <w:spacing w:before="240" w:after="60"/>
              <w:ind w:hanging="0" w:start="0"/>
              <w:rPr>
                <w:rFonts w:ascii="Arial Narrow" w:hAnsi="Arial Narrow" w:cs="Arial Narrow"/>
                <w:sz w:val="14"/>
              </w:rPr>
            </w:pPr>
            <w:r>
              <w:rPr>
                <w:rFonts w:cs="Arial Narrow" w:ascii="Arial Narrow" w:hAnsi="Arial Narrow"/>
                <w:sz w:val="14"/>
              </w:rPr>
              <w:t xml:space="preserve">Enron Entity </w:t>
            </w:r>
          </w:p>
        </w:tc>
        <w:tc>
          <w:tcPr>
            <w:tcW w:w="2070" w:type="dxa"/>
            <w:tcBorders>
              <w:top w:val="single" w:sz="4" w:space="0" w:color="000000"/>
              <w:start w:val="single" w:sz="4" w:space="0" w:color="000000"/>
              <w:end w:val="single" w:sz="4" w:space="0" w:color="000000"/>
            </w:tcBorders>
          </w:tcPr>
          <w:p>
            <w:pPr>
              <w:pStyle w:val="Heading2"/>
              <w:spacing w:before="240" w:after="60"/>
              <w:ind w:hanging="0" w:start="0"/>
              <w:rPr>
                <w:rFonts w:ascii="Arial Narrow" w:hAnsi="Arial Narrow" w:cs="Arial Narrow"/>
                <w:sz w:val="14"/>
              </w:rPr>
            </w:pPr>
            <w:r>
              <w:rPr>
                <w:rFonts w:cs="Arial Narrow" w:ascii="Arial Narrow" w:hAnsi="Arial Narrow"/>
                <w:sz w:val="14"/>
              </w:rPr>
              <w:t>PG&amp;E Entity</w:t>
            </w:r>
          </w:p>
        </w:tc>
        <w:tc>
          <w:tcPr>
            <w:tcW w:w="900" w:type="dxa"/>
            <w:tcBorders>
              <w:top w:val="single" w:sz="4" w:space="0" w:color="000000"/>
              <w:start w:val="single" w:sz="4" w:space="0" w:color="000000"/>
              <w:end w:val="single" w:sz="4" w:space="0" w:color="000000"/>
            </w:tcBorders>
          </w:tcPr>
          <w:p>
            <w:pPr>
              <w:pStyle w:val="Heading2"/>
              <w:spacing w:before="240" w:after="60"/>
              <w:ind w:hanging="0" w:start="0"/>
              <w:rPr>
                <w:rFonts w:ascii="Arial Narrow" w:hAnsi="Arial Narrow" w:cs="Arial Narrow"/>
                <w:sz w:val="14"/>
              </w:rPr>
            </w:pPr>
            <w:r>
              <w:rPr>
                <w:rFonts w:cs="Arial Narrow" w:ascii="Arial Narrow" w:hAnsi="Arial Narrow"/>
                <w:sz w:val="14"/>
              </w:rPr>
              <w:t>Type</w:t>
            </w:r>
          </w:p>
        </w:tc>
      </w:tr>
      <w:tr>
        <w:trPr/>
        <w:tc>
          <w:tcPr>
            <w:tcW w:w="54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1</w:t>
            </w:r>
          </w:p>
        </w:tc>
        <w:tc>
          <w:tcPr>
            <w:tcW w:w="117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Various</w:t>
            </w:r>
          </w:p>
        </w:tc>
        <w:tc>
          <w:tcPr>
            <w:tcW w:w="297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Enfolio Spot GTC</w:t>
            </w:r>
          </w:p>
        </w:tc>
        <w:tc>
          <w:tcPr>
            <w:tcW w:w="180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Enron North America Corp.</w:t>
            </w:r>
          </w:p>
        </w:tc>
        <w:tc>
          <w:tcPr>
            <w:tcW w:w="207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Energy Services, Energy Trading  Corp.</w:t>
            </w:r>
          </w:p>
        </w:tc>
        <w:tc>
          <w:tcPr>
            <w:tcW w:w="90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Physical</w:t>
            </w:r>
          </w:p>
          <w:p>
            <w:pPr>
              <w:pStyle w:val="Normal"/>
              <w:rPr>
                <w:rFonts w:ascii="Arial Narrow" w:hAnsi="Arial Narrow" w:cs="Arial Narrow"/>
                <w:sz w:val="14"/>
              </w:rPr>
            </w:pPr>
            <w:r>
              <w:rPr>
                <w:rFonts w:cs="Arial Narrow" w:ascii="Arial Narrow" w:hAnsi="Arial Narrow"/>
                <w:sz w:val="14"/>
              </w:rPr>
              <w:t>Gas</w:t>
            </w:r>
          </w:p>
        </w:tc>
      </w:tr>
      <w:tr>
        <w:trPr/>
        <w:tc>
          <w:tcPr>
            <w:tcW w:w="54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117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297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180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207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90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r>
      <w:tr>
        <w:trPr/>
        <w:tc>
          <w:tcPr>
            <w:tcW w:w="54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2</w:t>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12/21/00</w:t>
            </w:r>
          </w:p>
        </w:tc>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Master Coal Purchase and Sale Agreement</w:t>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Enron Coal Services Ltd.</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Energy Trading –Power, L.P.</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Physical</w:t>
            </w:r>
          </w:p>
        </w:tc>
      </w:tr>
      <w:tr>
        <w:trPr/>
        <w:tc>
          <w:tcPr>
            <w:tcW w:w="54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3</w:t>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Various</w:t>
            </w:r>
          </w:p>
        </w:tc>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GTC Form</w:t>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Enron North America Corp.</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Energy Trading –Power, L.P.</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Financial Electricity</w:t>
            </w:r>
          </w:p>
        </w:tc>
      </w:tr>
      <w:tr>
        <w:trPr/>
        <w:tc>
          <w:tcPr>
            <w:tcW w:w="54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4</w:t>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2/2/00</w:t>
            </w:r>
          </w:p>
        </w:tc>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Master Coal Purchase &amp; Sale Agreement</w:t>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Enron North America Corp.</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Energy Trading –Power, L.P.</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Physical Coal</w:t>
            </w:r>
          </w:p>
        </w:tc>
      </w:tr>
      <w:tr>
        <w:trPr/>
        <w:tc>
          <w:tcPr>
            <w:tcW w:w="54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5</w:t>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11/27/96</w:t>
            </w:r>
          </w:p>
        </w:tc>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Master Energy Purchase and Sale Agreement</w:t>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EPMI</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Energy Trading –Power, L.P. (USGEN Power)</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Electricity Physical</w:t>
            </w:r>
          </w:p>
        </w:tc>
      </w:tr>
      <w:tr>
        <w:trPr/>
        <w:tc>
          <w:tcPr>
            <w:tcW w:w="54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6</w:t>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9/1/98</w:t>
            </w:r>
          </w:p>
        </w:tc>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Master Agreement</w:t>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Energy Services (Assigned to EEMC and subsequently assigned to EPMI</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Energy Trading –Power, L.P.</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Electricity Physical</w:t>
            </w:r>
          </w:p>
        </w:tc>
      </w:tr>
      <w:tr>
        <w:trPr/>
        <w:tc>
          <w:tcPr>
            <w:tcW w:w="54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117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297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180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207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90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r>
      <w:tr>
        <w:trPr/>
        <w:tc>
          <w:tcPr>
            <w:tcW w:w="54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7</w:t>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1/15/99</w:t>
            </w:r>
          </w:p>
        </w:tc>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ISDA Master Agreement with</w:t>
            </w:r>
          </w:p>
          <w:p>
            <w:pPr>
              <w:pStyle w:val="Normal"/>
              <w:rPr>
                <w:rFonts w:ascii="Arial Narrow" w:hAnsi="Arial Narrow" w:cs="Arial Narrow"/>
                <w:sz w:val="14"/>
              </w:rPr>
            </w:pPr>
            <w:r>
              <w:rPr>
                <w:rFonts w:cs="Arial Narrow" w:ascii="Arial Narrow" w:hAnsi="Arial Narrow"/>
                <w:sz w:val="14"/>
              </w:rPr>
              <w:t>ISDA Credit Support Annex and Enron Corp. Guaranty, PG&amp;E Corp. Guarantee</w:t>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Enron Canada Corp.</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Energy Trading, Canada Corp.</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Financial</w:t>
            </w:r>
          </w:p>
        </w:tc>
      </w:tr>
      <w:tr>
        <w:trPr/>
        <w:tc>
          <w:tcPr>
            <w:tcW w:w="54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8</w:t>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3/11/97</w:t>
            </w:r>
          </w:p>
        </w:tc>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Master Firm Gas Purchase/ Sale Agreement</w:t>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Enron Canada Corp.</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Energy Trading, Canada Corp.</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 xml:space="preserve">Physical </w:t>
            </w:r>
          </w:p>
          <w:p>
            <w:pPr>
              <w:pStyle w:val="Normal"/>
              <w:rPr>
                <w:rFonts w:ascii="Arial Narrow" w:hAnsi="Arial Narrow" w:cs="Arial Narrow"/>
                <w:sz w:val="14"/>
              </w:rPr>
            </w:pPr>
            <w:r>
              <w:rPr>
                <w:rFonts w:cs="Arial Narrow" w:ascii="Arial Narrow" w:hAnsi="Arial Narrow"/>
                <w:sz w:val="14"/>
              </w:rPr>
              <w:t>Gas</w:t>
            </w:r>
          </w:p>
        </w:tc>
      </w:tr>
      <w:tr>
        <w:trPr/>
        <w:tc>
          <w:tcPr>
            <w:tcW w:w="54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9</w:t>
            </w:r>
          </w:p>
        </w:tc>
        <w:tc>
          <w:tcPr>
            <w:tcW w:w="117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02/01/99</w:t>
            </w:r>
          </w:p>
        </w:tc>
        <w:tc>
          <w:tcPr>
            <w:tcW w:w="297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Master Interruptible Purchase/ Sale Agreement</w:t>
            </w:r>
          </w:p>
          <w:p>
            <w:pPr>
              <w:pStyle w:val="Normal"/>
              <w:rPr>
                <w:rFonts w:ascii="Arial Narrow" w:hAnsi="Arial Narrow" w:cs="Arial Narrow"/>
                <w:sz w:val="14"/>
              </w:rPr>
            </w:pPr>
            <w:r>
              <w:rPr>
                <w:rFonts w:cs="Arial Narrow" w:ascii="Arial Narrow" w:hAnsi="Arial Narrow"/>
                <w:sz w:val="14"/>
              </w:rPr>
            </w:r>
          </w:p>
        </w:tc>
        <w:tc>
          <w:tcPr>
            <w:tcW w:w="180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Enron North America Corp.</w:t>
            </w:r>
          </w:p>
        </w:tc>
        <w:tc>
          <w:tcPr>
            <w:tcW w:w="207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Energy Trading, Canada Corp.</w:t>
            </w:r>
          </w:p>
        </w:tc>
        <w:tc>
          <w:tcPr>
            <w:tcW w:w="90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 xml:space="preserve">Physical </w:t>
            </w:r>
          </w:p>
          <w:p>
            <w:pPr>
              <w:pStyle w:val="Normal"/>
              <w:rPr>
                <w:rFonts w:ascii="Arial Narrow" w:hAnsi="Arial Narrow" w:cs="Arial Narrow"/>
                <w:sz w:val="14"/>
              </w:rPr>
            </w:pPr>
            <w:r>
              <w:rPr>
                <w:rFonts w:cs="Arial Narrow" w:ascii="Arial Narrow" w:hAnsi="Arial Narrow"/>
                <w:sz w:val="14"/>
              </w:rPr>
              <w:t>Gas</w:t>
            </w:r>
          </w:p>
        </w:tc>
      </w:tr>
      <w:tr>
        <w:trPr/>
        <w:tc>
          <w:tcPr>
            <w:tcW w:w="54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10</w:t>
            </w:r>
          </w:p>
        </w:tc>
        <w:tc>
          <w:tcPr>
            <w:tcW w:w="117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02/01/99</w:t>
            </w:r>
          </w:p>
        </w:tc>
        <w:tc>
          <w:tcPr>
            <w:tcW w:w="297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Master Firm Purchase/ Sale Agreement</w:t>
            </w:r>
          </w:p>
        </w:tc>
        <w:tc>
          <w:tcPr>
            <w:tcW w:w="180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Enron North America Corp</w:t>
            </w:r>
          </w:p>
        </w:tc>
        <w:tc>
          <w:tcPr>
            <w:tcW w:w="207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Energy Trading, Canada</w:t>
            </w:r>
          </w:p>
          <w:p>
            <w:pPr>
              <w:pStyle w:val="Normal"/>
              <w:rPr>
                <w:rFonts w:ascii="Arial Narrow" w:hAnsi="Arial Narrow" w:cs="Arial Narrow"/>
                <w:sz w:val="14"/>
              </w:rPr>
            </w:pPr>
            <w:r>
              <w:rPr>
                <w:rFonts w:cs="Arial Narrow" w:ascii="Arial Narrow" w:hAnsi="Arial Narrow"/>
                <w:sz w:val="14"/>
              </w:rPr>
              <w:t>Corp.</w:t>
            </w:r>
          </w:p>
        </w:tc>
        <w:tc>
          <w:tcPr>
            <w:tcW w:w="90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 xml:space="preserve">Physical </w:t>
            </w:r>
          </w:p>
          <w:p>
            <w:pPr>
              <w:pStyle w:val="Normal"/>
              <w:rPr>
                <w:rFonts w:ascii="Arial Narrow" w:hAnsi="Arial Narrow" w:cs="Arial Narrow"/>
                <w:sz w:val="14"/>
              </w:rPr>
            </w:pPr>
            <w:r>
              <w:rPr>
                <w:rFonts w:cs="Arial Narrow" w:ascii="Arial Narrow" w:hAnsi="Arial Narrow"/>
                <w:sz w:val="14"/>
              </w:rPr>
              <w:t>Gas</w:t>
            </w:r>
          </w:p>
        </w:tc>
      </w:tr>
      <w:tr>
        <w:trPr/>
        <w:tc>
          <w:tcPr>
            <w:tcW w:w="54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117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297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180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207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90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r>
      <w:tr>
        <w:trPr/>
        <w:tc>
          <w:tcPr>
            <w:tcW w:w="54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11</w:t>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4/17/97</w:t>
            </w:r>
          </w:p>
        </w:tc>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Master Firm Gas Purchase/ Sale Agreement</w:t>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Enron Canada Corp.</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Energy Trading-Gas Corp.</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 xml:space="preserve">Physical </w:t>
            </w:r>
          </w:p>
          <w:p>
            <w:pPr>
              <w:pStyle w:val="Normal"/>
              <w:rPr>
                <w:rFonts w:ascii="Arial Narrow" w:hAnsi="Arial Narrow" w:cs="Arial Narrow"/>
                <w:sz w:val="14"/>
              </w:rPr>
            </w:pPr>
            <w:r>
              <w:rPr>
                <w:rFonts w:cs="Arial Narrow" w:ascii="Arial Narrow" w:hAnsi="Arial Narrow"/>
                <w:sz w:val="14"/>
              </w:rPr>
              <w:t>Gas</w:t>
            </w:r>
          </w:p>
        </w:tc>
      </w:tr>
      <w:tr>
        <w:trPr/>
        <w:tc>
          <w:tcPr>
            <w:tcW w:w="54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12</w:t>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1/15/99</w:t>
            </w:r>
          </w:p>
        </w:tc>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ISDA Master Agreement</w:t>
            </w:r>
          </w:p>
          <w:p>
            <w:pPr>
              <w:pStyle w:val="Normal"/>
              <w:rPr>
                <w:rFonts w:ascii="Arial Narrow" w:hAnsi="Arial Narrow" w:cs="Arial Narrow"/>
                <w:sz w:val="14"/>
              </w:rPr>
            </w:pPr>
            <w:r>
              <w:rPr>
                <w:rFonts w:cs="Arial Narrow" w:ascii="Arial Narrow" w:hAnsi="Arial Narrow"/>
                <w:sz w:val="14"/>
              </w:rPr>
              <w:t>with ISDA Credit Support Annex and Enron Corp. Guaranty and PG&amp;E Corp. Guarantee and PG7E Energy Trading Corporation Guarantee</w:t>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Enron North America Corp.</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Energy Trading-Gas Corp.</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Financial</w:t>
            </w:r>
          </w:p>
        </w:tc>
      </w:tr>
      <w:tr>
        <w:trPr/>
        <w:tc>
          <w:tcPr>
            <w:tcW w:w="54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13</w:t>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2/1/99</w:t>
            </w:r>
          </w:p>
        </w:tc>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Master Firm Purchase/ Sale Agreement</w:t>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Enron North America Corp.</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Energy Trading-Gas Corp.</w:t>
            </w:r>
          </w:p>
          <w:p>
            <w:pPr>
              <w:pStyle w:val="Normal"/>
              <w:rPr>
                <w:rFonts w:ascii="Arial Narrow" w:hAnsi="Arial Narrow" w:cs="Arial Narrow"/>
                <w:sz w:val="14"/>
              </w:rPr>
            </w:pPr>
            <w:r>
              <w:rPr>
                <w:rFonts w:cs="Arial Narrow" w:ascii="Arial Narrow" w:hAnsi="Arial Narrow"/>
                <w:sz w:val="14"/>
              </w:rPr>
              <w:t>(original party was PG&amp;E Energy Trading, Canada)</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 xml:space="preserve">Physical </w:t>
            </w:r>
          </w:p>
          <w:p>
            <w:pPr>
              <w:pStyle w:val="Normal"/>
              <w:rPr>
                <w:rFonts w:ascii="Arial Narrow" w:hAnsi="Arial Narrow" w:cs="Arial Narrow"/>
                <w:sz w:val="14"/>
              </w:rPr>
            </w:pPr>
            <w:r>
              <w:rPr>
                <w:rFonts w:cs="Arial Narrow" w:ascii="Arial Narrow" w:hAnsi="Arial Narrow"/>
                <w:sz w:val="14"/>
              </w:rPr>
              <w:t>Gas</w:t>
            </w:r>
          </w:p>
        </w:tc>
      </w:tr>
      <w:tr>
        <w:trPr/>
        <w:tc>
          <w:tcPr>
            <w:tcW w:w="54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14</w:t>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2/1/99</w:t>
            </w:r>
          </w:p>
        </w:tc>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Master Firm Purchase/ Sale Agreement</w:t>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Enron North America Corp.</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Energy Trading-Gas Corp.</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Physical Gas</w:t>
            </w:r>
          </w:p>
        </w:tc>
      </w:tr>
      <w:tr>
        <w:trPr/>
        <w:tc>
          <w:tcPr>
            <w:tcW w:w="54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15</w:t>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1/10/01</w:t>
            </w:r>
          </w:p>
        </w:tc>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Enfolio Spot GTC</w:t>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Enron North America Corp.</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Energy Trading – Gas Corp.</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 xml:space="preserve">Physical </w:t>
            </w:r>
          </w:p>
          <w:p>
            <w:pPr>
              <w:pStyle w:val="Normal"/>
              <w:rPr>
                <w:rFonts w:ascii="Arial Narrow" w:hAnsi="Arial Narrow" w:cs="Arial Narrow"/>
                <w:sz w:val="14"/>
              </w:rPr>
            </w:pPr>
            <w:r>
              <w:rPr>
                <w:rFonts w:cs="Arial Narrow" w:ascii="Arial Narrow" w:hAnsi="Arial Narrow"/>
                <w:sz w:val="14"/>
              </w:rPr>
              <w:t>Gas</w:t>
            </w:r>
          </w:p>
        </w:tc>
      </w:tr>
      <w:tr>
        <w:trPr/>
        <w:tc>
          <w:tcPr>
            <w:tcW w:w="54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16</w:t>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3/1/95</w:t>
            </w:r>
          </w:p>
        </w:tc>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Enfolio Master Spot Purchase Sale Agreement</w:t>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Houston Pipe Line Co.</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Energy Trading-Gas Corp.</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 xml:space="preserve">Physical </w:t>
            </w:r>
          </w:p>
          <w:p>
            <w:pPr>
              <w:pStyle w:val="Normal"/>
              <w:rPr>
                <w:rFonts w:ascii="Arial Narrow" w:hAnsi="Arial Narrow" w:cs="Arial Narrow"/>
                <w:sz w:val="14"/>
              </w:rPr>
            </w:pPr>
            <w:r>
              <w:rPr>
                <w:rFonts w:cs="Arial Narrow" w:ascii="Arial Narrow" w:hAnsi="Arial Narrow"/>
                <w:sz w:val="14"/>
              </w:rPr>
              <w:t>Gas</w:t>
            </w:r>
          </w:p>
        </w:tc>
      </w:tr>
      <w:tr>
        <w:trPr/>
        <w:tc>
          <w:tcPr>
            <w:tcW w:w="54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17</w:t>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1/4/01</w:t>
            </w:r>
          </w:p>
        </w:tc>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Houston Pipe Line CO. Spot GTC</w:t>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Houston Pipe Line Co.</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Energy Trading – Gas Corp.</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 xml:space="preserve">Physical </w:t>
            </w:r>
          </w:p>
          <w:p>
            <w:pPr>
              <w:pStyle w:val="Normal"/>
              <w:rPr>
                <w:rFonts w:ascii="Arial Narrow" w:hAnsi="Arial Narrow" w:cs="Arial Narrow"/>
                <w:sz w:val="14"/>
              </w:rPr>
            </w:pPr>
            <w:r>
              <w:rPr>
                <w:rFonts w:cs="Arial Narrow" w:ascii="Arial Narrow" w:hAnsi="Arial Narrow"/>
                <w:sz w:val="14"/>
              </w:rPr>
              <w:t>Gas</w:t>
            </w:r>
          </w:p>
        </w:tc>
      </w:tr>
      <w:tr>
        <w:trPr/>
        <w:tc>
          <w:tcPr>
            <w:tcW w:w="54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18</w:t>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4/1/98</w:t>
            </w:r>
          </w:p>
        </w:tc>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Enfolio Master Firm Purchase Agreement</w:t>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EES</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Energy Trading-Gas Corp.</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 xml:space="preserve">Physical </w:t>
            </w:r>
          </w:p>
          <w:p>
            <w:pPr>
              <w:pStyle w:val="Normal"/>
              <w:rPr>
                <w:rFonts w:ascii="Arial Narrow" w:hAnsi="Arial Narrow" w:cs="Arial Narrow"/>
                <w:sz w:val="14"/>
              </w:rPr>
            </w:pPr>
            <w:r>
              <w:rPr>
                <w:rFonts w:cs="Arial Narrow" w:ascii="Arial Narrow" w:hAnsi="Arial Narrow"/>
                <w:sz w:val="14"/>
              </w:rPr>
              <w:t>Gas</w:t>
            </w:r>
          </w:p>
        </w:tc>
      </w:tr>
      <w:tr>
        <w:trPr/>
        <w:tc>
          <w:tcPr>
            <w:tcW w:w="54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19</w:t>
            </w:r>
          </w:p>
        </w:tc>
        <w:tc>
          <w:tcPr>
            <w:tcW w:w="117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11/1/97</w:t>
            </w:r>
          </w:p>
        </w:tc>
        <w:tc>
          <w:tcPr>
            <w:tcW w:w="297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Master Firm Gas Purchase/ Sale Agreement</w:t>
            </w:r>
          </w:p>
        </w:tc>
        <w:tc>
          <w:tcPr>
            <w:tcW w:w="180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EEMC</w:t>
            </w:r>
          </w:p>
        </w:tc>
        <w:tc>
          <w:tcPr>
            <w:tcW w:w="207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Energy Trading-Gas Corp.</w:t>
            </w:r>
          </w:p>
        </w:tc>
        <w:tc>
          <w:tcPr>
            <w:tcW w:w="90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 xml:space="preserve">Physical </w:t>
            </w:r>
          </w:p>
          <w:p>
            <w:pPr>
              <w:pStyle w:val="Normal"/>
              <w:rPr>
                <w:rFonts w:ascii="Arial Narrow" w:hAnsi="Arial Narrow" w:cs="Arial Narrow"/>
                <w:sz w:val="14"/>
              </w:rPr>
            </w:pPr>
            <w:r>
              <w:rPr>
                <w:rFonts w:cs="Arial Narrow" w:ascii="Arial Narrow" w:hAnsi="Arial Narrow"/>
                <w:sz w:val="14"/>
              </w:rPr>
              <w:t>Gas</w:t>
            </w:r>
          </w:p>
        </w:tc>
      </w:tr>
      <w:tr>
        <w:trPr/>
        <w:tc>
          <w:tcPr>
            <w:tcW w:w="540" w:type="dxa"/>
            <w:tcBorders>
              <w:top w:val="single" w:sz="4" w:space="0" w:color="000000"/>
              <w:start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1170" w:type="dxa"/>
            <w:tcBorders>
              <w:top w:val="single" w:sz="4" w:space="0" w:color="000000"/>
              <w:start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2970" w:type="dxa"/>
            <w:tcBorders>
              <w:top w:val="single" w:sz="4" w:space="0" w:color="000000"/>
              <w:start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1800" w:type="dxa"/>
            <w:tcBorders>
              <w:top w:val="single" w:sz="4" w:space="0" w:color="000000"/>
              <w:start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2070" w:type="dxa"/>
            <w:tcBorders>
              <w:top w:val="single" w:sz="4" w:space="0" w:color="000000"/>
              <w:start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900" w:type="dxa"/>
            <w:tcBorders>
              <w:top w:val="single" w:sz="4" w:space="0" w:color="000000"/>
              <w:start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r>
      <w:tr>
        <w:trPr/>
        <w:tc>
          <w:tcPr>
            <w:tcW w:w="54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20</w:t>
            </w:r>
          </w:p>
        </w:tc>
        <w:tc>
          <w:tcPr>
            <w:tcW w:w="117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07/23/86</w:t>
            </w:r>
          </w:p>
        </w:tc>
        <w:tc>
          <w:tcPr>
            <w:tcW w:w="297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Purchase Agreement</w:t>
            </w:r>
          </w:p>
        </w:tc>
        <w:tc>
          <w:tcPr>
            <w:tcW w:w="180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Enron Gas Liquids Inc.</w:t>
            </w:r>
          </w:p>
        </w:tc>
        <w:tc>
          <w:tcPr>
            <w:tcW w:w="207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NGL Marketing LP</w:t>
            </w:r>
          </w:p>
        </w:tc>
        <w:tc>
          <w:tcPr>
            <w:tcW w:w="90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Physical Natural Gas</w:t>
            </w:r>
          </w:p>
          <w:p>
            <w:pPr>
              <w:pStyle w:val="Normal"/>
              <w:rPr>
                <w:rFonts w:ascii="Arial Narrow" w:hAnsi="Arial Narrow" w:cs="Arial Narrow"/>
                <w:sz w:val="14"/>
              </w:rPr>
            </w:pPr>
            <w:r>
              <w:rPr>
                <w:rFonts w:cs="Arial Narrow" w:ascii="Arial Narrow" w:hAnsi="Arial Narrow"/>
                <w:sz w:val="14"/>
              </w:rPr>
              <w:t>Liquids</w:t>
            </w:r>
          </w:p>
        </w:tc>
      </w:tr>
      <w:tr>
        <w:trPr/>
        <w:tc>
          <w:tcPr>
            <w:tcW w:w="54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21</w:t>
            </w:r>
          </w:p>
        </w:tc>
        <w:tc>
          <w:tcPr>
            <w:tcW w:w="117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12/29/97</w:t>
            </w:r>
          </w:p>
        </w:tc>
        <w:tc>
          <w:tcPr>
            <w:tcW w:w="297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Exchange Agreement</w:t>
            </w:r>
          </w:p>
        </w:tc>
        <w:tc>
          <w:tcPr>
            <w:tcW w:w="180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Enron Gas Liquids Inc.</w:t>
            </w:r>
          </w:p>
        </w:tc>
        <w:tc>
          <w:tcPr>
            <w:tcW w:w="207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NGL Marketing LP</w:t>
            </w:r>
          </w:p>
        </w:tc>
        <w:tc>
          <w:tcPr>
            <w:tcW w:w="90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Physical Natural Gas</w:t>
            </w:r>
          </w:p>
          <w:p>
            <w:pPr>
              <w:pStyle w:val="Normal"/>
              <w:rPr>
                <w:rFonts w:ascii="Arial Narrow" w:hAnsi="Arial Narrow" w:cs="Arial Narrow"/>
                <w:sz w:val="14"/>
              </w:rPr>
            </w:pPr>
            <w:r>
              <w:rPr>
                <w:rFonts w:cs="Arial Narrow" w:ascii="Arial Narrow" w:hAnsi="Arial Narrow"/>
                <w:sz w:val="14"/>
              </w:rPr>
              <w:t>Liquids</w:t>
            </w:r>
          </w:p>
        </w:tc>
      </w:tr>
      <w:tr>
        <w:trPr/>
        <w:tc>
          <w:tcPr>
            <w:tcW w:w="54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22</w:t>
            </w:r>
          </w:p>
        </w:tc>
        <w:tc>
          <w:tcPr>
            <w:tcW w:w="117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05/16/00</w:t>
            </w:r>
          </w:p>
        </w:tc>
        <w:tc>
          <w:tcPr>
            <w:tcW w:w="297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Term Sale Agreement</w:t>
            </w:r>
          </w:p>
        </w:tc>
        <w:tc>
          <w:tcPr>
            <w:tcW w:w="180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Enron Gas Liquids Inc.</w:t>
            </w:r>
          </w:p>
        </w:tc>
        <w:tc>
          <w:tcPr>
            <w:tcW w:w="207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NGL Marketing LP</w:t>
            </w:r>
          </w:p>
        </w:tc>
        <w:tc>
          <w:tcPr>
            <w:tcW w:w="90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Physical Liquid</w:t>
            </w:r>
          </w:p>
          <w:p>
            <w:pPr>
              <w:pStyle w:val="Normal"/>
              <w:rPr>
                <w:rFonts w:ascii="Arial Narrow" w:hAnsi="Arial Narrow" w:cs="Arial Narrow"/>
                <w:sz w:val="14"/>
              </w:rPr>
            </w:pPr>
            <w:r>
              <w:rPr>
                <w:rFonts w:cs="Arial Narrow" w:ascii="Arial Narrow" w:hAnsi="Arial Narrow"/>
                <w:sz w:val="14"/>
              </w:rPr>
              <w:t>Natural Gas</w:t>
            </w:r>
          </w:p>
        </w:tc>
      </w:tr>
      <w:tr>
        <w:trPr/>
        <w:tc>
          <w:tcPr>
            <w:tcW w:w="54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23</w:t>
            </w:r>
          </w:p>
        </w:tc>
        <w:tc>
          <w:tcPr>
            <w:tcW w:w="117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12/18/00</w:t>
            </w:r>
          </w:p>
        </w:tc>
        <w:tc>
          <w:tcPr>
            <w:tcW w:w="297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Domestic Spot Sales, Purchase and/or Exchange Agreement</w:t>
            </w:r>
          </w:p>
        </w:tc>
        <w:tc>
          <w:tcPr>
            <w:tcW w:w="180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Enron Gas Liquids Inc.</w:t>
            </w:r>
          </w:p>
        </w:tc>
        <w:tc>
          <w:tcPr>
            <w:tcW w:w="207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NGL Marketing LP</w:t>
            </w:r>
          </w:p>
        </w:tc>
        <w:tc>
          <w:tcPr>
            <w:tcW w:w="90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Physical</w:t>
            </w:r>
          </w:p>
          <w:p>
            <w:pPr>
              <w:pStyle w:val="Normal"/>
              <w:rPr>
                <w:rFonts w:ascii="Arial Narrow" w:hAnsi="Arial Narrow" w:cs="Arial Narrow"/>
                <w:sz w:val="14"/>
              </w:rPr>
            </w:pPr>
            <w:r>
              <w:rPr>
                <w:rFonts w:cs="Arial Narrow" w:ascii="Arial Narrow" w:hAnsi="Arial Narrow"/>
                <w:sz w:val="14"/>
              </w:rPr>
              <w:t>Natural Gas Liquids</w:t>
            </w:r>
          </w:p>
        </w:tc>
      </w:tr>
      <w:tr>
        <w:trPr/>
        <w:tc>
          <w:tcPr>
            <w:tcW w:w="54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117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297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180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207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90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r>
      <w:tr>
        <w:trPr/>
        <w:tc>
          <w:tcPr>
            <w:tcW w:w="540" w:type="dxa"/>
            <w:tcBorders>
              <w:top w:val="single" w:sz="4" w:space="0" w:color="000000"/>
              <w:start w:val="single" w:sz="4" w:space="0" w:color="000000"/>
              <w:bottom w:val="single" w:sz="4" w:space="0" w:color="000000"/>
              <w:end w:val="single" w:sz="4" w:space="0" w:color="000000"/>
            </w:tcBorders>
            <w:shd w:fill="FFFFFF" w:val="clear"/>
          </w:tcPr>
          <w:p>
            <w:pPr>
              <w:pStyle w:val="Normal"/>
              <w:rPr>
                <w:rFonts w:ascii="Arial Narrow" w:hAnsi="Arial Narrow" w:cs="Arial Narrow"/>
                <w:sz w:val="14"/>
              </w:rPr>
            </w:pPr>
            <w:r>
              <w:rPr>
                <w:rFonts w:cs="Arial Narrow" w:ascii="Arial Narrow" w:hAnsi="Arial Narrow"/>
                <w:sz w:val="14"/>
              </w:rPr>
              <w:t>24</w:t>
            </w:r>
          </w:p>
        </w:tc>
        <w:tc>
          <w:tcPr>
            <w:tcW w:w="1170" w:type="dxa"/>
            <w:tcBorders>
              <w:top w:val="single" w:sz="4" w:space="0" w:color="000000"/>
              <w:start w:val="single" w:sz="4" w:space="0" w:color="000000"/>
              <w:bottom w:val="single" w:sz="4" w:space="0" w:color="000000"/>
              <w:end w:val="single" w:sz="4" w:space="0" w:color="000000"/>
            </w:tcBorders>
            <w:shd w:fill="FFFFFF" w:val="clear"/>
          </w:tcPr>
          <w:p>
            <w:pPr>
              <w:pStyle w:val="Normal"/>
              <w:rPr>
                <w:rFonts w:ascii="Arial Narrow" w:hAnsi="Arial Narrow" w:cs="Arial Narrow"/>
                <w:sz w:val="14"/>
              </w:rPr>
            </w:pPr>
            <w:r>
              <w:rPr>
                <w:rFonts w:cs="Arial Narrow" w:ascii="Arial Narrow" w:hAnsi="Arial Narrow"/>
                <w:sz w:val="14"/>
              </w:rPr>
              <w:t>7/1/2000</w:t>
            </w:r>
          </w:p>
        </w:tc>
        <w:tc>
          <w:tcPr>
            <w:tcW w:w="2970" w:type="dxa"/>
            <w:tcBorders>
              <w:top w:val="single" w:sz="4" w:space="0" w:color="000000"/>
              <w:start w:val="single" w:sz="4" w:space="0" w:color="000000"/>
              <w:bottom w:val="single" w:sz="4" w:space="0" w:color="000000"/>
              <w:end w:val="single" w:sz="4" w:space="0" w:color="000000"/>
            </w:tcBorders>
            <w:shd w:fill="FFFFFF" w:val="clear"/>
          </w:tcPr>
          <w:p>
            <w:pPr>
              <w:pStyle w:val="Normal"/>
              <w:rPr>
                <w:rFonts w:ascii="Arial Narrow" w:hAnsi="Arial Narrow" w:cs="Arial Narrow"/>
                <w:sz w:val="14"/>
              </w:rPr>
            </w:pPr>
            <w:r>
              <w:rPr>
                <w:rFonts w:cs="Arial Narrow" w:ascii="Arial Narrow" w:hAnsi="Arial Narrow"/>
                <w:sz w:val="14"/>
              </w:rPr>
              <w:t>Base Contract for Short-Term Sale and Purchase of Natural Gas</w:t>
            </w:r>
          </w:p>
        </w:tc>
        <w:tc>
          <w:tcPr>
            <w:tcW w:w="1800" w:type="dxa"/>
            <w:tcBorders>
              <w:top w:val="single" w:sz="4" w:space="0" w:color="000000"/>
              <w:start w:val="single" w:sz="4" w:space="0" w:color="000000"/>
              <w:bottom w:val="single" w:sz="4" w:space="0" w:color="000000"/>
              <w:end w:val="single" w:sz="4" w:space="0" w:color="000000"/>
            </w:tcBorders>
            <w:shd w:fill="FFFFFF" w:val="clear"/>
          </w:tcPr>
          <w:p>
            <w:pPr>
              <w:pStyle w:val="Normal"/>
              <w:rPr>
                <w:rFonts w:ascii="Arial Narrow" w:hAnsi="Arial Narrow" w:cs="Arial Narrow"/>
                <w:sz w:val="14"/>
              </w:rPr>
            </w:pPr>
            <w:r>
              <w:rPr>
                <w:rFonts w:cs="Arial Narrow" w:ascii="Arial Narrow" w:hAnsi="Arial Narrow"/>
                <w:sz w:val="14"/>
              </w:rPr>
              <w:t>Houston Pipe Line Co.</w:t>
            </w:r>
          </w:p>
        </w:tc>
        <w:tc>
          <w:tcPr>
            <w:tcW w:w="2070" w:type="dxa"/>
            <w:tcBorders>
              <w:top w:val="single" w:sz="4" w:space="0" w:color="000000"/>
              <w:start w:val="single" w:sz="4" w:space="0" w:color="000000"/>
              <w:bottom w:val="single" w:sz="4" w:space="0" w:color="000000"/>
              <w:end w:val="single" w:sz="4" w:space="0" w:color="000000"/>
            </w:tcBorders>
            <w:shd w:fill="FFFFFF" w:val="clear"/>
          </w:tcPr>
          <w:p>
            <w:pPr>
              <w:pStyle w:val="Normal"/>
              <w:rPr>
                <w:rFonts w:ascii="Arial Narrow" w:hAnsi="Arial Narrow" w:cs="Arial Narrow"/>
                <w:sz w:val="14"/>
              </w:rPr>
            </w:pPr>
            <w:r>
              <w:rPr>
                <w:rFonts w:cs="Arial Narrow" w:ascii="Arial Narrow" w:hAnsi="Arial Narrow"/>
                <w:sz w:val="14"/>
              </w:rPr>
              <w:t>PG&amp;E Texas Industrial Energy LP</w:t>
            </w:r>
          </w:p>
        </w:tc>
        <w:tc>
          <w:tcPr>
            <w:tcW w:w="900" w:type="dxa"/>
            <w:tcBorders>
              <w:top w:val="single" w:sz="4" w:space="0" w:color="000000"/>
              <w:start w:val="single" w:sz="4" w:space="0" w:color="000000"/>
              <w:bottom w:val="single" w:sz="4" w:space="0" w:color="000000"/>
              <w:end w:val="single" w:sz="4" w:space="0" w:color="000000"/>
            </w:tcBorders>
            <w:shd w:fill="FFFFFF" w:val="clear"/>
          </w:tcPr>
          <w:p>
            <w:pPr>
              <w:pStyle w:val="Normal"/>
              <w:rPr>
                <w:rFonts w:ascii="Arial Narrow" w:hAnsi="Arial Narrow" w:cs="Arial Narrow"/>
                <w:sz w:val="14"/>
              </w:rPr>
            </w:pPr>
            <w:r>
              <w:rPr>
                <w:rFonts w:cs="Arial Narrow" w:ascii="Arial Narrow" w:hAnsi="Arial Narrow"/>
                <w:sz w:val="14"/>
              </w:rPr>
              <w:t xml:space="preserve">Physical </w:t>
            </w:r>
          </w:p>
          <w:p>
            <w:pPr>
              <w:pStyle w:val="Normal"/>
              <w:rPr>
                <w:rFonts w:ascii="Arial Narrow" w:hAnsi="Arial Narrow" w:cs="Arial Narrow"/>
                <w:sz w:val="14"/>
              </w:rPr>
            </w:pPr>
            <w:r>
              <w:rPr>
                <w:rFonts w:cs="Arial Narrow" w:ascii="Arial Narrow" w:hAnsi="Arial Narrow"/>
                <w:sz w:val="14"/>
              </w:rPr>
              <w:t>Gas</w:t>
            </w:r>
          </w:p>
        </w:tc>
      </w:tr>
      <w:tr>
        <w:trPr/>
        <w:tc>
          <w:tcPr>
            <w:tcW w:w="540" w:type="dxa"/>
            <w:tcBorders>
              <w:top w:val="single" w:sz="4" w:space="0" w:color="000000"/>
              <w:start w:val="single" w:sz="4" w:space="0" w:color="000000"/>
              <w:end w:val="single" w:sz="4" w:space="0" w:color="000000"/>
            </w:tcBorders>
            <w:shd w:fill="FFFFFF" w:val="clear"/>
          </w:tcPr>
          <w:p>
            <w:pPr>
              <w:pStyle w:val="Normal"/>
              <w:rPr>
                <w:rFonts w:ascii="Arial Narrow" w:hAnsi="Arial Narrow" w:cs="Arial Narrow"/>
                <w:sz w:val="14"/>
              </w:rPr>
            </w:pPr>
            <w:r>
              <w:rPr>
                <w:rFonts w:cs="Arial Narrow" w:ascii="Arial Narrow" w:hAnsi="Arial Narrow"/>
                <w:sz w:val="14"/>
              </w:rPr>
              <w:t>25</w:t>
            </w:r>
          </w:p>
        </w:tc>
        <w:tc>
          <w:tcPr>
            <w:tcW w:w="1170" w:type="dxa"/>
            <w:tcBorders>
              <w:top w:val="single" w:sz="4" w:space="0" w:color="000000"/>
              <w:start w:val="single" w:sz="4" w:space="0" w:color="000000"/>
              <w:end w:val="single" w:sz="4" w:space="0" w:color="000000"/>
            </w:tcBorders>
            <w:shd w:fill="FFFFFF" w:val="clear"/>
          </w:tcPr>
          <w:p>
            <w:pPr>
              <w:pStyle w:val="Normal"/>
              <w:rPr>
                <w:rFonts w:ascii="Arial Narrow" w:hAnsi="Arial Narrow" w:cs="Arial Narrow"/>
                <w:sz w:val="14"/>
              </w:rPr>
            </w:pPr>
            <w:r>
              <w:rPr>
                <w:rFonts w:cs="Arial Narrow" w:ascii="Arial Narrow" w:hAnsi="Arial Narrow"/>
                <w:sz w:val="14"/>
              </w:rPr>
              <w:t>9/1/98</w:t>
            </w:r>
          </w:p>
        </w:tc>
        <w:tc>
          <w:tcPr>
            <w:tcW w:w="2970" w:type="dxa"/>
            <w:tcBorders>
              <w:top w:val="single" w:sz="4" w:space="0" w:color="000000"/>
              <w:start w:val="single" w:sz="4" w:space="0" w:color="000000"/>
              <w:end w:val="single" w:sz="4" w:space="0" w:color="000000"/>
            </w:tcBorders>
            <w:shd w:fill="FFFFFF" w:val="clear"/>
          </w:tcPr>
          <w:p>
            <w:pPr>
              <w:pStyle w:val="Normal"/>
              <w:rPr>
                <w:rFonts w:ascii="Arial Narrow" w:hAnsi="Arial Narrow" w:cs="Arial Narrow"/>
                <w:sz w:val="14"/>
              </w:rPr>
            </w:pPr>
            <w:r>
              <w:rPr>
                <w:rFonts w:cs="Arial Narrow" w:ascii="Arial Narrow" w:hAnsi="Arial Narrow"/>
                <w:sz w:val="14"/>
              </w:rPr>
              <w:t>Firm Gas Sales Agreement.</w:t>
            </w:r>
          </w:p>
        </w:tc>
        <w:tc>
          <w:tcPr>
            <w:tcW w:w="1800" w:type="dxa"/>
            <w:tcBorders>
              <w:top w:val="single" w:sz="4" w:space="0" w:color="000000"/>
              <w:start w:val="single" w:sz="4" w:space="0" w:color="000000"/>
              <w:end w:val="single" w:sz="4" w:space="0" w:color="000000"/>
            </w:tcBorders>
            <w:shd w:fill="FFFFFF" w:val="clear"/>
          </w:tcPr>
          <w:p>
            <w:pPr>
              <w:pStyle w:val="Normal"/>
              <w:rPr>
                <w:rFonts w:ascii="Arial Narrow" w:hAnsi="Arial Narrow" w:cs="Arial Narrow"/>
                <w:sz w:val="14"/>
              </w:rPr>
            </w:pPr>
            <w:r>
              <w:rPr>
                <w:rFonts w:cs="Arial Narrow" w:ascii="Arial Narrow" w:hAnsi="Arial Narrow"/>
                <w:sz w:val="14"/>
              </w:rPr>
              <w:t>Enron North America Corp.</w:t>
            </w:r>
          </w:p>
        </w:tc>
        <w:tc>
          <w:tcPr>
            <w:tcW w:w="2070" w:type="dxa"/>
            <w:tcBorders>
              <w:top w:val="single" w:sz="4" w:space="0" w:color="000000"/>
              <w:start w:val="single" w:sz="4" w:space="0" w:color="000000"/>
              <w:end w:val="single" w:sz="4" w:space="0" w:color="000000"/>
            </w:tcBorders>
            <w:shd w:fill="FFFFFF" w:val="clear"/>
          </w:tcPr>
          <w:p>
            <w:pPr>
              <w:pStyle w:val="Normal"/>
              <w:rPr>
                <w:rFonts w:ascii="Arial Narrow" w:hAnsi="Arial Narrow" w:cs="Arial Narrow"/>
                <w:sz w:val="14"/>
              </w:rPr>
            </w:pPr>
            <w:r>
              <w:rPr>
                <w:rFonts w:cs="Arial Narrow" w:ascii="Arial Narrow" w:hAnsi="Arial Narrow"/>
                <w:sz w:val="14"/>
              </w:rPr>
              <w:t>PG&amp;E Texas Industrial Energy LP</w:t>
            </w:r>
          </w:p>
        </w:tc>
        <w:tc>
          <w:tcPr>
            <w:tcW w:w="900" w:type="dxa"/>
            <w:tcBorders>
              <w:top w:val="single" w:sz="4" w:space="0" w:color="000000"/>
              <w:start w:val="single" w:sz="4" w:space="0" w:color="000000"/>
              <w:end w:val="single" w:sz="4" w:space="0" w:color="000000"/>
            </w:tcBorders>
            <w:shd w:fill="FFFFFF" w:val="clear"/>
          </w:tcPr>
          <w:p>
            <w:pPr>
              <w:pStyle w:val="Normal"/>
              <w:rPr>
                <w:rFonts w:ascii="Arial Narrow" w:hAnsi="Arial Narrow" w:cs="Arial Narrow"/>
                <w:sz w:val="14"/>
              </w:rPr>
            </w:pPr>
            <w:r>
              <w:rPr>
                <w:rFonts w:cs="Arial Narrow" w:ascii="Arial Narrow" w:hAnsi="Arial Narrow"/>
                <w:sz w:val="14"/>
              </w:rPr>
              <w:t xml:space="preserve">Physical </w:t>
            </w:r>
          </w:p>
          <w:p>
            <w:pPr>
              <w:pStyle w:val="Normal"/>
              <w:rPr>
                <w:rFonts w:ascii="Arial Narrow" w:hAnsi="Arial Narrow" w:cs="Arial Narrow"/>
                <w:sz w:val="14"/>
              </w:rPr>
            </w:pPr>
            <w:r>
              <w:rPr>
                <w:rFonts w:cs="Arial Narrow" w:ascii="Arial Narrow" w:hAnsi="Arial Narrow"/>
                <w:sz w:val="14"/>
              </w:rPr>
              <w:t>Gas</w:t>
            </w:r>
          </w:p>
          <w:p>
            <w:pPr>
              <w:pStyle w:val="Normal"/>
              <w:rPr>
                <w:rFonts w:ascii="Arial Narrow" w:hAnsi="Arial Narrow" w:cs="Arial Narrow"/>
                <w:sz w:val="14"/>
              </w:rPr>
            </w:pPr>
            <w:r>
              <w:rPr>
                <w:rFonts w:cs="Arial Narrow" w:ascii="Arial Narrow" w:hAnsi="Arial Narrow"/>
                <w:sz w:val="14"/>
              </w:rPr>
            </w:r>
          </w:p>
        </w:tc>
      </w:tr>
      <w:tr>
        <w:trPr/>
        <w:tc>
          <w:tcPr>
            <w:tcW w:w="54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26</w:t>
            </w:r>
          </w:p>
        </w:tc>
        <w:tc>
          <w:tcPr>
            <w:tcW w:w="117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1/1/98</w:t>
            </w:r>
          </w:p>
        </w:tc>
        <w:tc>
          <w:tcPr>
            <w:tcW w:w="297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Base Contract for Short-Term Sale and Purchase of Natural Gas.</w:t>
            </w:r>
          </w:p>
        </w:tc>
        <w:tc>
          <w:tcPr>
            <w:tcW w:w="180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Enron North America Corp.</w:t>
            </w:r>
          </w:p>
        </w:tc>
        <w:tc>
          <w:tcPr>
            <w:tcW w:w="207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Texas Industrial Energy, L.P.</w:t>
            </w:r>
          </w:p>
        </w:tc>
        <w:tc>
          <w:tcPr>
            <w:tcW w:w="90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 xml:space="preserve">Physical </w:t>
            </w:r>
          </w:p>
          <w:p>
            <w:pPr>
              <w:pStyle w:val="Normal"/>
              <w:rPr>
                <w:rFonts w:ascii="Arial Narrow" w:hAnsi="Arial Narrow" w:cs="Arial Narrow"/>
                <w:sz w:val="14"/>
              </w:rPr>
            </w:pPr>
            <w:r>
              <w:rPr>
                <w:rFonts w:cs="Arial Narrow" w:ascii="Arial Narrow" w:hAnsi="Arial Narrow"/>
                <w:sz w:val="14"/>
              </w:rPr>
              <w:t>Gas</w:t>
            </w:r>
          </w:p>
        </w:tc>
      </w:tr>
      <w:tr>
        <w:trPr/>
        <w:tc>
          <w:tcPr>
            <w:tcW w:w="54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27</w:t>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8/12/91</w:t>
            </w:r>
          </w:p>
        </w:tc>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Gas Sales Agreement</w:t>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HPL Resources (Buyer)</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 xml:space="preserve">PG&amp;E Texas Industrial Energy, L.P. </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 xml:space="preserve">Physical </w:t>
            </w:r>
          </w:p>
          <w:p>
            <w:pPr>
              <w:pStyle w:val="Normal"/>
              <w:rPr>
                <w:rFonts w:ascii="Arial Narrow" w:hAnsi="Arial Narrow" w:cs="Arial Narrow"/>
                <w:sz w:val="14"/>
              </w:rPr>
            </w:pPr>
            <w:r>
              <w:rPr>
                <w:rFonts w:cs="Arial Narrow" w:ascii="Arial Narrow" w:hAnsi="Arial Narrow"/>
                <w:sz w:val="14"/>
              </w:rPr>
              <w:t>Gas</w:t>
            </w:r>
          </w:p>
        </w:tc>
      </w:tr>
      <w:tr>
        <w:trPr/>
        <w:tc>
          <w:tcPr>
            <w:tcW w:w="54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28</w:t>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8/31/99</w:t>
            </w:r>
          </w:p>
        </w:tc>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Enfolio Firm GTC</w:t>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Houston Pipe Line (Buyer)</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 xml:space="preserve">PG&amp;E Texas Industrial Energy, L.P. </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 xml:space="preserve">Physical </w:t>
            </w:r>
          </w:p>
          <w:p>
            <w:pPr>
              <w:pStyle w:val="Normal"/>
              <w:rPr>
                <w:rFonts w:ascii="Arial Narrow" w:hAnsi="Arial Narrow" w:cs="Arial Narrow"/>
                <w:sz w:val="14"/>
              </w:rPr>
            </w:pPr>
            <w:r>
              <w:rPr>
                <w:rFonts w:cs="Arial Narrow" w:ascii="Arial Narrow" w:hAnsi="Arial Narrow"/>
                <w:sz w:val="14"/>
              </w:rPr>
              <w:t>Gas</w:t>
            </w:r>
          </w:p>
        </w:tc>
      </w:tr>
      <w:tr>
        <w:trPr/>
        <w:tc>
          <w:tcPr>
            <w:tcW w:w="54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117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297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180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207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90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r>
      <w:tr>
        <w:trPr/>
        <w:tc>
          <w:tcPr>
            <w:tcW w:w="54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29</w:t>
            </w:r>
          </w:p>
        </w:tc>
        <w:tc>
          <w:tcPr>
            <w:tcW w:w="117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04/13/93?</w:t>
            </w:r>
          </w:p>
          <w:p>
            <w:pPr>
              <w:pStyle w:val="Normal"/>
              <w:rPr>
                <w:rFonts w:ascii="Arial Narrow" w:hAnsi="Arial Narrow" w:cs="Arial Narrow"/>
                <w:sz w:val="14"/>
              </w:rPr>
            </w:pPr>
            <w:r>
              <w:rPr>
                <w:rFonts w:cs="Arial Narrow" w:ascii="Arial Narrow" w:hAnsi="Arial Narrow"/>
                <w:sz w:val="14"/>
              </w:rPr>
              <w:t>01/25/93</w:t>
            </w:r>
          </w:p>
        </w:tc>
        <w:tc>
          <w:tcPr>
            <w:tcW w:w="297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Master Firm Purchase/ Sale Agreement</w:t>
            </w:r>
          </w:p>
        </w:tc>
        <w:tc>
          <w:tcPr>
            <w:tcW w:w="180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Enron Gas Marketing Inc. (Enron North America Corp.)</w:t>
            </w:r>
          </w:p>
        </w:tc>
        <w:tc>
          <w:tcPr>
            <w:tcW w:w="207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Texas VGM LP</w:t>
            </w:r>
          </w:p>
        </w:tc>
        <w:tc>
          <w:tcPr>
            <w:tcW w:w="90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 xml:space="preserve">Physical </w:t>
            </w:r>
          </w:p>
          <w:p>
            <w:pPr>
              <w:pStyle w:val="Normal"/>
              <w:rPr>
                <w:rFonts w:ascii="Arial Narrow" w:hAnsi="Arial Narrow" w:cs="Arial Narrow"/>
                <w:sz w:val="14"/>
              </w:rPr>
            </w:pPr>
            <w:r>
              <w:rPr>
                <w:rFonts w:cs="Arial Narrow" w:ascii="Arial Narrow" w:hAnsi="Arial Narrow"/>
                <w:sz w:val="14"/>
              </w:rPr>
              <w:t>Gas</w:t>
            </w:r>
          </w:p>
        </w:tc>
      </w:tr>
      <w:tr>
        <w:trPr/>
        <w:tc>
          <w:tcPr>
            <w:tcW w:w="54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117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297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180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207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90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r>
    </w:tbl>
    <w:p>
      <w:pPr>
        <w:pStyle w:val="Normal"/>
        <w:jc w:val="center"/>
        <w:rPr>
          <w:b/>
          <w:bCs/>
          <w:sz w:val="22"/>
        </w:rPr>
      </w:pPr>
      <w:r>
        <w:rPr>
          <w:b/>
          <w:bCs/>
          <w:sz w:val="22"/>
        </w:rPr>
      </w:r>
    </w:p>
    <w:sectPr>
      <w:headerReference w:type="default" r:id="rId3"/>
      <w:footerReference w:type="default" r:id="rId4"/>
      <w:footerReference w:type="first" r:id="rId5"/>
      <w:type w:val="nextPage"/>
      <w:pgSz w:w="12240" w:h="15840"/>
      <w:pgMar w:left="1440" w:right="1440" w:gutter="0" w:header="72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/mnt/main-storage/datasets/enron-docs/doc/PG_E_Master_Netting_Agreement_1_20cook.doc</w:t>
    </w:r>
    <w:r>
      <w:rPr>
        <w:rStyle w:val="PageNumber"/>
        <w:sz w:val="18"/>
      </w:rPr>
      <w:fldChar w:fldCharType="end"/>
    </w:r>
  </w:p>
  <w:p>
    <w:pPr>
      <w:pStyle w:val="Footer"/>
      <w:rPr>
        <w:rStyle w:val="PageNumber"/>
        <w:sz w:val="18"/>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bCs/>
      <w:sz w:val="2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WW8Num24z0">
    <w:name w:val="WW8Num24z0"/>
    <w:qFormat/>
    <w:rPr>
      <w:rFonts w:ascii="Times New Roman" w:hAnsi="Times New Roman" w:cs="Times New Roman"/>
      <w:b w:val="false"/>
      <w:i w:val="false"/>
      <w:sz w:val="24"/>
    </w:rPr>
  </w:style>
  <w:style w:type="character" w:styleId="WW8Num25z0">
    <w:name w:val="WW8Num25z0"/>
    <w:qFormat/>
    <w:rPr>
      <w:rFonts w:ascii="Wingdings" w:hAnsi="Wingdings" w:cs="Wingdings"/>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rPr>
  </w:style>
  <w:style w:type="character" w:styleId="WW8Num29z0">
    <w:name w:val="WW8Num29z0"/>
    <w:qFormat/>
    <w:rPr>
      <w:color w:val="000000"/>
    </w:rPr>
  </w:style>
  <w:style w:type="character" w:styleId="WW8Num30z0">
    <w:name w:val="WW8Num30z0"/>
    <w:qFormat/>
    <w:rPr>
      <w:rFonts w:ascii="Wingdings" w:hAnsi="Wingdings" w:cs="Wingdings"/>
    </w:rPr>
  </w:style>
  <w:style w:type="character" w:styleId="WW8Num31z0">
    <w:name w:val="WW8Num31z0"/>
    <w:qFormat/>
    <w:rPr/>
  </w:style>
  <w:style w:type="character" w:styleId="WW8Num32z0">
    <w:name w:val="WW8Num32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ListBullet">
    <w:name w:val="List Bullet"/>
    <w:basedOn w:val="Normal"/>
    <w:qFormat/>
    <w:pPr>
      <w:numPr>
        <w:ilvl w:val="0"/>
        <w:numId w:val="11"/>
      </w:numPr>
    </w:pPr>
    <w:rPr>
      <w:sz w:val="24"/>
    </w:rPr>
  </w:style>
  <w:style w:type="paragraph" w:styleId="ListBullet2">
    <w:name w:val="List Bullet 2"/>
    <w:basedOn w:val="Normal"/>
    <w:qFormat/>
    <w:pPr>
      <w:numPr>
        <w:ilvl w:val="0"/>
        <w:numId w:val="9"/>
      </w:numPr>
    </w:pPr>
    <w:rPr>
      <w:sz w:val="24"/>
    </w:rPr>
  </w:style>
  <w:style w:type="paragraph" w:styleId="ListBullet3">
    <w:name w:val="List Bullet 3"/>
    <w:basedOn w:val="Normal"/>
    <w:qFormat/>
    <w:pPr>
      <w:numPr>
        <w:ilvl w:val="0"/>
        <w:numId w:val="8"/>
      </w:numPr>
    </w:pPr>
    <w:rPr>
      <w:sz w:val="24"/>
    </w:rPr>
  </w:style>
  <w:style w:type="paragraph" w:styleId="ListBullet4">
    <w:name w:val="List Bullet 4"/>
    <w:basedOn w:val="Normal"/>
    <w:qFormat/>
    <w:pPr>
      <w:numPr>
        <w:ilvl w:val="0"/>
        <w:numId w:val="7"/>
      </w:numPr>
    </w:pPr>
    <w:rPr>
      <w:sz w:val="24"/>
    </w:rPr>
  </w:style>
  <w:style w:type="paragraph" w:styleId="ListBullet5">
    <w:name w:val="List Bullet 5"/>
    <w:basedOn w:val="Normal"/>
    <w:qFormat/>
    <w:pPr>
      <w:numPr>
        <w:ilvl w:val="0"/>
        <w:numId w:val="6"/>
      </w:numPr>
    </w:pPr>
    <w:rPr>
      <w:sz w:val="24"/>
    </w:rPr>
  </w:style>
  <w:style w:type="paragraph" w:styleId="ListNumber">
    <w:name w:val="List Number"/>
    <w:basedOn w:val="Normal"/>
    <w:qFormat/>
    <w:pPr>
      <w:numPr>
        <w:ilvl w:val="0"/>
        <w:numId w:val="10"/>
      </w:numPr>
    </w:pPr>
    <w:rPr>
      <w:sz w:val="24"/>
    </w:rPr>
  </w:style>
  <w:style w:type="paragraph" w:styleId="ListNumber2">
    <w:name w:val="List Number 2"/>
    <w:basedOn w:val="Normal"/>
    <w:qFormat/>
    <w:pPr>
      <w:numPr>
        <w:ilvl w:val="0"/>
        <w:numId w:val="5"/>
      </w:numPr>
    </w:pPr>
    <w:rPr>
      <w:sz w:val="24"/>
    </w:rPr>
  </w:style>
  <w:style w:type="paragraph" w:styleId="ListNumber3">
    <w:name w:val="List Number 3"/>
    <w:basedOn w:val="Normal"/>
    <w:qFormat/>
    <w:pPr>
      <w:numPr>
        <w:ilvl w:val="0"/>
        <w:numId w:val="4"/>
      </w:numPr>
    </w:pPr>
    <w:rPr>
      <w:sz w:val="24"/>
    </w:rPr>
  </w:style>
  <w:style w:type="paragraph" w:styleId="ListNumber4">
    <w:name w:val="List Number 4"/>
    <w:basedOn w:val="Normal"/>
    <w:qFormat/>
    <w:pPr>
      <w:numPr>
        <w:ilvl w:val="0"/>
        <w:numId w:val="3"/>
      </w:numPr>
    </w:pPr>
    <w:rPr>
      <w:sz w:val="24"/>
    </w:rPr>
  </w:style>
  <w:style w:type="paragraph" w:styleId="ListNumber5">
    <w:name w:val="List Number 5"/>
    <w:basedOn w:val="Normal"/>
    <w:qFormat/>
    <w:pPr>
      <w:numPr>
        <w:ilvl w:val="0"/>
        <w:numId w:val="2"/>
      </w:numPr>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2001-01-20T14:42:00Z</dcterms:created>
  <dc:creator>mcook</dc:creator>
  <dc:description/>
  <dc:language>en-CA</dc:language>
  <cp:lastModifiedBy>mcook</cp:lastModifiedBy>
  <cp:lastPrinted>2001-01-20T13:17:00Z</cp:lastPrinted>
  <dcterms:modified xsi:type="dcterms:W3CDTF">2001-01-20T16:48:00Z</dcterms:modified>
  <cp:revision>8</cp:revision>
  <dc:subject/>
  <dc:title>MASTER CROSS﷓PRODUCT NETTING AND SECURITY AGREEMENT</dc:title>
</cp:coreProperties>
</file>