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1"/>
        <w:spacing w:before="60" w:after="60"/>
        <w:rPr/>
      </w:pPr>
      <w:r>
        <w:rPr/>
      </w:r>
    </w:p>
    <w:p>
      <w:pPr>
        <w:pStyle w:val="Caption"/>
        <w:keepNext w:val="true"/>
        <w:rPr/>
      </w:pPr>
      <w:r>
        <w:rPr/>
      </w:r>
    </w:p>
    <w:tbl>
      <w:tblPr>
        <w:tblW w:w="928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"/>
        <w:gridCol w:w="2070"/>
        <w:gridCol w:w="270"/>
        <w:gridCol w:w="2070"/>
        <w:gridCol w:w="270"/>
        <w:gridCol w:w="2070"/>
        <w:gridCol w:w="270"/>
        <w:gridCol w:w="1973"/>
      </w:tblGrid>
      <w:tr>
        <w:trPr/>
        <w:tc>
          <w:tcPr>
            <w:tcW w:w="9281" w:type="dxa"/>
            <w:gridSpan w:val="8"/>
            <w:tcBorders>
              <w:top w:val="single" w:sz="12" w:space="0" w:color="000000"/>
              <w:start w:val="single" w:sz="12" w:space="0" w:color="000000"/>
              <w:bottom w:val="doub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tableheading"/>
              <w:spacing w:before="80" w:after="0"/>
              <w:rPr>
                <w:sz w:val="22"/>
              </w:rPr>
            </w:pPr>
            <w:r>
              <w:rPr>
                <w:sz w:val="22"/>
              </w:rPr>
              <w:t>Distribution and Attendee List</w:t>
            </w:r>
          </w:p>
        </w:tc>
      </w:tr>
      <w:tr>
        <w:trPr>
          <w:trHeight w:val="200" w:hRule="atLeast"/>
        </w:trPr>
        <w:tc>
          <w:tcPr>
            <w:tcW w:w="28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Mike Nelson</w:t>
            </w:r>
          </w:p>
        </w:tc>
        <w:tc>
          <w:tcPr>
            <w:tcW w:w="2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Earl Chanley</w:t>
            </w:r>
          </w:p>
        </w:tc>
        <w:tc>
          <w:tcPr>
            <w:tcW w:w="2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Rod Boschee</w:t>
            </w:r>
          </w:p>
        </w:tc>
        <w:tc>
          <w:tcPr>
            <w:tcW w:w="2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3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Mel Wong</w:t>
            </w:r>
          </w:p>
        </w:tc>
      </w:tr>
      <w:tr>
        <w:trPr>
          <w:trHeight w:val="200" w:hRule="atLeast"/>
        </w:trPr>
        <w:tc>
          <w:tcPr>
            <w:tcW w:w="28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Lou Soldano</w:t>
            </w:r>
          </w:p>
        </w:tc>
        <w:tc>
          <w:tcPr>
            <w:tcW w:w="2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Ray Smith</w:t>
            </w:r>
          </w:p>
        </w:tc>
        <w:tc>
          <w:tcPr>
            <w:tcW w:w="2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Dave Anderson</w:t>
            </w:r>
          </w:p>
        </w:tc>
        <w:tc>
          <w:tcPr>
            <w:tcW w:w="2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Tony Estrada</w:t>
            </w:r>
          </w:p>
        </w:tc>
      </w:tr>
      <w:tr>
        <w:trPr>
          <w:trHeight w:val="200" w:hRule="atLeast"/>
        </w:trPr>
        <w:tc>
          <w:tcPr>
            <w:tcW w:w="28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Rich Jolly</w:t>
            </w:r>
          </w:p>
        </w:tc>
        <w:tc>
          <w:tcPr>
            <w:tcW w:w="2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Larry Campbell</w:t>
            </w:r>
          </w:p>
        </w:tc>
        <w:tc>
          <w:tcPr>
            <w:tcW w:w="2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Curt Russell</w:t>
            </w:r>
          </w:p>
        </w:tc>
        <w:tc>
          <w:tcPr>
            <w:tcW w:w="2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Glen Riddle</w:t>
            </w:r>
          </w:p>
        </w:tc>
      </w:tr>
      <w:tr>
        <w:trPr>
          <w:trHeight w:val="200" w:hRule="atLeast"/>
        </w:trPr>
        <w:tc>
          <w:tcPr>
            <w:tcW w:w="28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David Roensch</w:t>
            </w:r>
          </w:p>
        </w:tc>
        <w:tc>
          <w:tcPr>
            <w:tcW w:w="2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Duane Luzum</w:t>
            </w:r>
          </w:p>
        </w:tc>
        <w:tc>
          <w:tcPr>
            <w:tcW w:w="2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Rich McCurdy</w:t>
            </w:r>
          </w:p>
        </w:tc>
        <w:tc>
          <w:tcPr>
            <w:tcW w:w="2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3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1"/>
              <w:spacing w:before="0" w:after="0"/>
              <w:rPr>
                <w:sz w:val="22"/>
              </w:rPr>
            </w:pPr>
            <w:r>
              <w:rPr>
                <w:sz w:val="22"/>
              </w:rPr>
              <w:t>Bob Beckam</w:t>
            </w:r>
          </w:p>
        </w:tc>
      </w:tr>
    </w:tbl>
    <w:p>
      <w:pPr>
        <w:pStyle w:val="body1"/>
        <w:rPr/>
      </w:pPr>
      <w:r>
        <w:rPr/>
      </w:r>
    </w:p>
    <w:p>
      <w:pPr>
        <w:pStyle w:val="body1"/>
        <w:rPr/>
      </w:pPr>
      <w:r>
        <w:rPr/>
      </w:r>
    </w:p>
    <w:p>
      <w:pPr>
        <w:pStyle w:val="body1"/>
        <w:spacing w:before="0" w:after="0"/>
        <w:ind w:firstLine="720" w:start="720" w:end="0"/>
        <w:rPr/>
      </w:pPr>
      <w:r>
        <w:rPr>
          <w:rFonts w:eastAsia="Garamond"/>
        </w:rPr>
        <w:t xml:space="preserve">   </w:t>
      </w:r>
      <w:r>
        <w:rPr/>
        <w:t>10:15 AM     Refreshments – “Laughlin Room” – 3</w:t>
      </w:r>
      <w:r>
        <w:rPr>
          <w:vertAlign w:val="superscript"/>
        </w:rPr>
        <w:t>rd</w:t>
      </w:r>
      <w:r>
        <w:rPr/>
        <w:t xml:space="preserve"> floor</w:t>
      </w:r>
    </w:p>
    <w:p>
      <w:pPr>
        <w:pStyle w:val="body1"/>
        <w:tabs>
          <w:tab w:val="clear" w:pos="720"/>
          <w:tab w:val="left" w:pos="90" w:leader="none"/>
        </w:tabs>
        <w:spacing w:before="0" w:after="0"/>
        <w:ind w:start="1620" w:end="0"/>
        <w:rPr/>
      </w:pPr>
      <w:r>
        <w:rPr/>
        <w:t xml:space="preserve">10:30 AM </w:t>
        <w:tab/>
        <w:t>Meeting Begins</w:t>
      </w:r>
    </w:p>
    <w:p>
      <w:pPr>
        <w:pStyle w:val="body1"/>
        <w:tabs>
          <w:tab w:val="clear" w:pos="720"/>
          <w:tab w:val="left" w:pos="90" w:leader="none"/>
        </w:tabs>
        <w:spacing w:before="0" w:after="0"/>
        <w:ind w:start="1620" w:end="0"/>
        <w:rPr/>
      </w:pPr>
      <w:r>
        <w:rPr/>
        <w:t>12:00 PM</w:t>
        <w:tab/>
        <w:t>Luncheon Buffet – Laughlin</w:t>
      </w:r>
    </w:p>
    <w:p>
      <w:pPr>
        <w:pStyle w:val="body1"/>
        <w:spacing w:before="0" w:after="0"/>
        <w:rPr/>
      </w:pPr>
      <w:r>
        <w:rPr/>
      </w:r>
    </w:p>
    <w:p>
      <w:pPr>
        <w:pStyle w:val="body1"/>
        <w:spacing w:before="0" w:after="0"/>
        <w:rPr/>
      </w:pPr>
      <w:r>
        <w:rPr/>
      </w:r>
    </w:p>
    <w:p>
      <w:pPr>
        <w:pStyle w:val="body1"/>
        <w:spacing w:before="0" w:after="0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6210"/>
        <w:gridCol w:w="2340"/>
      </w:tblGrid>
      <w:tr>
        <w:trPr/>
        <w:tc>
          <w:tcPr>
            <w:tcW w:w="9288" w:type="dxa"/>
            <w:gridSpan w:val="3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tableheading"/>
              <w:widowControl/>
              <w:bidi w:val="0"/>
              <w:spacing w:before="80" w:after="0"/>
              <w:jc w:val="center"/>
              <w:rPr/>
            </w:pPr>
            <w:r>
              <w:rPr/>
              <w:t>Agenda</w:t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doub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ing2"/>
              <w:widowControl/>
              <w:bidi w:val="0"/>
              <w:spacing w:before="100" w:after="0"/>
              <w:jc w:val="center"/>
              <w:rPr/>
            </w:pPr>
            <w:r>
              <w:rPr/>
              <w:t>Nbr.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doub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ing2"/>
              <w:widowControl/>
              <w:bidi w:val="0"/>
              <w:spacing w:before="100" w:after="0"/>
              <w:jc w:val="center"/>
              <w:rPr/>
            </w:pPr>
            <w:r>
              <w:rPr/>
              <w:t>Topic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doub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TableHeading2"/>
              <w:widowControl/>
              <w:bidi w:val="0"/>
              <w:spacing w:before="100" w:after="0"/>
              <w:jc w:val="center"/>
              <w:rPr/>
            </w:pPr>
            <w:r>
              <w:rPr/>
              <w:t>Responsible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62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pacing w:before="60" w:after="60"/>
              <w:rPr/>
            </w:pPr>
            <w:r>
              <w:rPr/>
              <w:t>PG&amp;E/TW Gas Quality Analysis/Pigging Update</w:t>
            </w:r>
          </w:p>
        </w:tc>
        <w:tc>
          <w:tcPr>
            <w:tcW w:w="234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1"/>
              <w:spacing w:before="60" w:after="60"/>
              <w:rPr/>
            </w:pPr>
            <w:r>
              <w:rPr/>
              <w:t>TW / PG&amp;E</w:t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pacing w:before="60" w:after="60"/>
              <w:rPr/>
            </w:pPr>
            <w:r>
              <w:rPr/>
              <w:t>PG&amp;E / TW Project Update</w:t>
            </w:r>
          </w:p>
          <w:p>
            <w:pPr>
              <w:pStyle w:val="body1"/>
              <w:numPr>
                <w:ilvl w:val="0"/>
                <w:numId w:val="4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>Drip Installations</w:t>
            </w:r>
          </w:p>
          <w:p>
            <w:pPr>
              <w:pStyle w:val="body1"/>
              <w:numPr>
                <w:ilvl w:val="0"/>
                <w:numId w:val="4"/>
              </w:numPr>
              <w:tabs>
                <w:tab w:val="clear" w:pos="720"/>
                <w:tab w:val="left" w:pos="342" w:leader="none"/>
              </w:tabs>
              <w:spacing w:before="0" w:after="0"/>
              <w:rPr>
                <w:sz w:val="22"/>
              </w:rPr>
            </w:pPr>
            <w:r>
              <w:rPr>
                <w:sz w:val="22"/>
              </w:rPr>
              <w:t>Customer Tap Separators</w:t>
            </w:r>
          </w:p>
          <w:p>
            <w:pPr>
              <w:pStyle w:val="body1"/>
              <w:numPr>
                <w:ilvl w:val="0"/>
                <w:numId w:val="4"/>
              </w:numPr>
              <w:tabs>
                <w:tab w:val="clear" w:pos="720"/>
                <w:tab w:val="left" w:pos="342" w:leader="none"/>
              </w:tabs>
              <w:spacing w:before="0" w:after="60"/>
              <w:rPr>
                <w:sz w:val="22"/>
              </w:rPr>
            </w:pPr>
            <w:r>
              <w:rPr>
                <w:sz w:val="22"/>
              </w:rPr>
              <w:t>PG&amp;E A&amp;B Mainline Separators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1"/>
              <w:spacing w:before="60" w:after="60"/>
              <w:rPr/>
            </w:pPr>
            <w:r>
              <w:rPr/>
              <w:t>TW / PG&amp;E</w:t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pacing w:before="60" w:after="60"/>
              <w:rPr/>
            </w:pPr>
            <w:r>
              <w:rPr/>
              <w:t>PG&amp;E Report on Downstream Testing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1"/>
              <w:spacing w:before="60" w:after="60"/>
              <w:rPr/>
            </w:pPr>
            <w:r>
              <w:rPr/>
              <w:t>PG&amp;E</w:t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1"/>
              <w:spacing w:before="60" w:after="60"/>
              <w:rPr/>
            </w:pPr>
            <w:r>
              <w:rPr/>
              <w:t>Options / Next Steps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1"/>
              <w:spacing w:before="60" w:after="60"/>
              <w:rPr/>
            </w:pPr>
            <w:r>
              <w:rPr/>
              <w:t>PG&amp;E / TW</w:t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1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1"/>
              <w:spacing w:before="60" w:after="60"/>
              <w:rPr/>
            </w:pPr>
            <w:r>
              <w:rPr/>
              <w:t>Follow-up Meeting Date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1"/>
              <w:snapToGrid w:val="false"/>
              <w:spacing w:before="60" w:after="60"/>
              <w:rPr/>
            </w:pPr>
            <w:r>
              <w:rPr/>
            </w:r>
          </w:p>
        </w:tc>
      </w:tr>
    </w:tbl>
    <w:p>
      <w:pPr>
        <w:pStyle w:val="Heading2"/>
        <w:ind w:hanging="0" w:start="0"/>
        <w:rPr/>
      </w:pPr>
      <w:r>
        <w:rPr/>
        <w:t>Annotated Notes</w:t>
      </w:r>
    </w:p>
    <w:p>
      <w:pPr>
        <w:pStyle w:val="Heading3"/>
        <w:ind w:hanging="0" w:start="0"/>
        <w:rPr/>
      </w:pPr>
      <w:r>
        <w:rPr/>
        <w:t>Topic 1.  PG&amp;E / TW Gas Quality Analysis/Pigging Update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"/>
        <w:gridCol w:w="6310"/>
        <w:gridCol w:w="1556"/>
        <w:gridCol w:w="1080"/>
      </w:tblGrid>
      <w:tr>
        <w:trPr/>
        <w:tc>
          <w:tcPr>
            <w:tcW w:w="34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 xml:space="preserve">Discussion: TW continues to bring in weekly pigs runs dry and no liquids have been picked up at either  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 xml:space="preserve">TW's or PG&amp;E's Topock filter / separator. A hard copy of all 2000 collected analytical data was provided  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>to Dave Anderson. PG&amp;E cancelled the last two sample runs based on other work load issues.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>Conclusions: TW continues to deliver very dry gas at the Topock point. PG&amp;E is satisfied with the results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 xml:space="preserve">at Topock and recognizes the cooperation and efforts to date, but is unwilling to increase volumes until 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>upper management is satisfied with longer term efforts.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6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0" w:after="120"/>
              <w:rPr/>
            </w:pPr>
            <w:r>
              <w:rPr/>
              <w:t xml:space="preserve">Action items: Both parties need to remain dedicated to running the weekly 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0" w:after="120"/>
              <w:rPr/>
            </w:pPr>
            <w:r>
              <w:rPr/>
              <w:t>Responsible: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0" w:after="120"/>
              <w:rPr/>
            </w:pPr>
            <w:r>
              <w:rPr/>
              <w:t>Deadline: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6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60" w:after="60"/>
              <w:rPr/>
            </w:pPr>
            <w:r>
              <w:rPr/>
              <w:t>sample run.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60" w:after="60"/>
              <w:rPr/>
            </w:pPr>
            <w:r>
              <w:rPr/>
              <w:t>TW / PG&amp;E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631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</w:tr>
    </w:tbl>
    <w:p>
      <w:pPr>
        <w:pStyle w:val="Heading3"/>
        <w:spacing w:before="360" w:after="40"/>
        <w:ind w:hanging="0" w:start="0"/>
        <w:rPr>
          <w:rFonts w:eastAsia="Arial Black"/>
        </w:rPr>
      </w:pPr>
      <w:r>
        <w:rPr>
          <w:rFonts w:eastAsia="Arial Black"/>
        </w:rPr>
        <w:t xml:space="preserve"> </w:t>
      </w:r>
    </w:p>
    <w:p>
      <w:pPr>
        <w:pStyle w:val="Heading3"/>
        <w:spacing w:before="360" w:after="40"/>
        <w:ind w:hanging="0" w:start="0"/>
        <w:rPr/>
      </w:pPr>
      <w:r>
        <w:rPr/>
        <w:t>Topic 2.  PG&amp;E / TW Project Update</w:t>
      </w:r>
    </w:p>
    <w:p>
      <w:pPr>
        <w:pStyle w:val="body1"/>
        <w:rPr/>
      </w:pPr>
      <w:r>
        <w:rPr/>
        <w:t>Drip Installations, Customer Tap Separators, PG&amp;E A&amp;B Mainline Separators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"/>
        <w:gridCol w:w="6310"/>
        <w:gridCol w:w="1556"/>
        <w:gridCol w:w="1080"/>
      </w:tblGrid>
      <w:tr>
        <w:trPr/>
        <w:tc>
          <w:tcPr>
            <w:tcW w:w="34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>Discussion: Drip installations on PG&amp;E's A&amp;B lines at MP 27, 63, and 84 have been completed . To date,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 xml:space="preserve">only the drip at MP 63 A has produced liquids, with analysis in the 3 PPM range. Customer tap filter / 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 xml:space="preserve">separators have been installed at 5 locations. The PG&amp;E A&amp;B mainline filter / separators are expected to  be 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>installed as  a turn-key project managed by ET&amp;S.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>Conclusions: Engineering drawings for the filter /separator installation were approved at the meeting.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6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0" w:after="120"/>
              <w:rPr/>
            </w:pPr>
            <w:r>
              <w:rPr/>
              <w:t>Action items: The new drip installations and customer tap filter /separators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0" w:after="120"/>
              <w:rPr/>
            </w:pPr>
            <w:r>
              <w:rPr/>
              <w:t>Responsible: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0" w:after="120"/>
              <w:rPr/>
            </w:pPr>
            <w:r>
              <w:rPr/>
              <w:t>Deadline: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6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60" w:after="60"/>
              <w:rPr/>
            </w:pPr>
            <w:r>
              <w:rPr/>
              <w:t>will be added to the sample run data as official sample points.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60" w:after="60"/>
              <w:rPr/>
            </w:pPr>
            <w:r>
              <w:rPr/>
              <w:t xml:space="preserve">David Roensch 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60" w:after="60"/>
              <w:rPr/>
            </w:pPr>
            <w:r>
              <w:rPr/>
              <w:t>now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6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60" w:after="60"/>
              <w:rPr/>
            </w:pPr>
            <w:r>
              <w:rPr/>
              <w:t>Curt Russell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631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</w:tr>
    </w:tbl>
    <w:p>
      <w:pPr>
        <w:pStyle w:val="box-b2"/>
        <w:numPr>
          <w:ilvl w:val="0"/>
          <w:numId w:val="0"/>
        </w:numPr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  <w:t>Topic 3.  PG&amp;E Report on Downstream Testing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"/>
        <w:gridCol w:w="6310"/>
        <w:gridCol w:w="1556"/>
        <w:gridCol w:w="1080"/>
      </w:tblGrid>
      <w:tr>
        <w:trPr/>
        <w:tc>
          <w:tcPr>
            <w:tcW w:w="34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 xml:space="preserve">Discussion: PG&amp;E has gathered  liquid and wipe samples for analysis downstream of Pisgah (the proposed  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 xml:space="preserve">Site of the mainline filter / separator) as far as MP 225.91. There were some points indicating positive for 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>PCB's, with a range of non-detect to 38 PPM. Most liquid sample analysis indicated &lt;1 to 6 PPM.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>Conclusions: A hard copy of all gathered data was provided. This represents a first ever collection of liquids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>for analysis at these points. Future samples will be collected and analyzed  for potential additional customer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>filter / separator installations.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6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0" w:after="120"/>
              <w:rPr/>
            </w:pPr>
            <w:r>
              <w:rPr/>
              <w:t xml:space="preserve">Action items: PG&amp;E will collect additional samples at these new points for 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0" w:after="120"/>
              <w:rPr/>
            </w:pPr>
            <w:r>
              <w:rPr/>
              <w:t>Responsible: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0" w:after="120"/>
              <w:rPr/>
            </w:pPr>
            <w:r>
              <w:rPr/>
              <w:t>Deadline: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6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60" w:after="60"/>
              <w:rPr/>
            </w:pPr>
            <w:r>
              <w:rPr/>
              <w:t xml:space="preserve">review. Each tap where liquids were collected will be scoped for a potential 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60" w:after="60"/>
              <w:rPr/>
            </w:pPr>
            <w:r>
              <w:rPr/>
              <w:t>PG&amp;E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631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60" w:after="60"/>
              <w:rPr/>
            </w:pPr>
            <w:r>
              <w:rPr/>
              <w:t xml:space="preserve">filter / separator installation, which is aligned with a containment strategy. 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</w:tr>
    </w:tbl>
    <w:p>
      <w:pPr>
        <w:pStyle w:val="body1"/>
        <w:rPr/>
      </w:pPr>
      <w:r>
        <w:rPr/>
      </w:r>
    </w:p>
    <w:p>
      <w:pPr>
        <w:pStyle w:val="Heading3"/>
        <w:ind w:hanging="0" w:start="0"/>
        <w:rPr/>
      </w:pPr>
      <w:r>
        <w:rPr/>
        <w:t>Topic 4.  Options / Next Steps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"/>
        <w:gridCol w:w="6310"/>
        <w:gridCol w:w="1556"/>
        <w:gridCol w:w="1080"/>
      </w:tblGrid>
      <w:tr>
        <w:trPr/>
        <w:tc>
          <w:tcPr>
            <w:tcW w:w="34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 xml:space="preserve">Discussion: PG&amp;E plans to meet with direct and industrial customers to notify them of the potential for    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 xml:space="preserve">PCB's.  They may meet with Southwest as early as next week and  So Cal a bit later. PG&amp;E also believes 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 xml:space="preserve">deconning the Topock Compressor Station is imperative to minimize customer and employee exposure . 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>Conclusions: TW stated that deconning the Topock Compressor Station is outside the containment strategy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 xml:space="preserve">that was approved,  not cost effective nor  is it realistic to expect total decontamination. PG&amp;E plans  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120" w:after="0"/>
              <w:rPr/>
            </w:pPr>
            <w:r>
              <w:rPr/>
              <w:t xml:space="preserve">to contact Vector to develop a scope of work for Topock, per PG&amp;E's upper management.  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6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0" w:after="120"/>
              <w:rPr/>
            </w:pPr>
            <w:r>
              <w:rPr/>
              <w:t xml:space="preserve">Action items: Lou Soldano will contact So Cal's Dr Komai to potentially 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0" w:after="120"/>
              <w:rPr/>
            </w:pPr>
            <w:r>
              <w:rPr/>
              <w:t>Responsible: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0" w:after="120"/>
              <w:rPr/>
            </w:pPr>
            <w:r>
              <w:rPr/>
              <w:t>Deadline: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6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60" w:after="60"/>
              <w:rPr/>
            </w:pPr>
            <w:r>
              <w:rPr/>
              <w:t xml:space="preserve">share practices and find out how So Cal handles PCB's at the customer   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60" w:after="60"/>
              <w:rPr/>
            </w:pPr>
            <w:r>
              <w:rPr/>
              <w:t>Lou Soldano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pacing w:before="60" w:after="60"/>
              <w:rPr/>
            </w:pPr>
            <w:r>
              <w:rPr/>
              <w:t>asap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631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60" w:after="60"/>
              <w:rPr/>
            </w:pPr>
            <w:r>
              <w:rPr/>
              <w:t xml:space="preserve">level.  PG&amp;E will provide a report on the cooling tower decomissioning which includes the cooling tower analytical. 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Standard1"/>
              <w:keepNext w:val="true"/>
              <w:spacing w:before="60" w:after="60"/>
              <w:rPr/>
            </w:pPr>
            <w:r>
              <w:rPr/>
              <w:t>Mel Wong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andard1"/>
              <w:keepNext w:val="true"/>
              <w:snapToGrid w:val="false"/>
              <w:spacing w:before="60" w:after="60"/>
              <w:rPr/>
            </w:pPr>
            <w:r>
              <w:rPr/>
            </w:r>
          </w:p>
        </w:tc>
      </w:tr>
    </w:tbl>
    <w:p>
      <w:pPr>
        <w:pStyle w:val="body1"/>
        <w:rPr/>
      </w:pPr>
      <w:r>
        <w:rPr/>
      </w:r>
    </w:p>
    <w:p>
      <w:pPr>
        <w:pStyle w:val="body1"/>
        <w:rPr/>
      </w:pPr>
      <w:r>
        <w:rPr/>
      </w:r>
    </w:p>
    <w:p>
      <w:pPr>
        <w:pStyle w:val="body1"/>
        <w:rPr>
          <w:b/>
        </w:rPr>
      </w:pPr>
      <w:r>
        <w:rPr>
          <w:b/>
        </w:rPr>
        <w:t xml:space="preserve">Next Meeting Date: Rod Boschee will contact Mike Nelson </w:t>
        <w:tab/>
      </w:r>
    </w:p>
    <w:p>
      <w:pPr>
        <w:pStyle w:val="Normal"/>
        <w:rPr>
          <w:b/>
        </w:rPr>
      </w:pPr>
      <w:r>
        <w:rPr>
          <w:b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288" w:header="864" w:top="1440" w:footer="72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/mnt/main-storage/datasets/enron-docs/doc/PG_E_MarNotes.doc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DATE \@"M\/d\/yy\ H:mm:ss\ AM/PM"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9/28/25 9:03:28 AM</w:t>
    </w:r>
    <w:r>
      <w:rPr>
        <w:sz w:val="12"/>
        <w:b/>
        <w:rFonts w:cs="Arial" w:ascii="Arial" w:hAnsi="Arial"/>
      </w:rPr>
      <w:fldChar w:fldCharType="end"/>
    </w:r>
    <w:r>
      <w:rPr/>
      <w:tab/>
      <w:t>Meeting Agenda and Minutes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60" w:after="60"/>
      <w:rPr/>
    </w:pPr>
    <w:r>
      <w:rPr/>
      <w:t>Enron/PG&amp;E Meeting</w:t>
      <w:tab/>
      <w:t>March 1, 2000</w:t>
    </w:r>
  </w:p>
  <w:p>
    <w:pPr>
      <w:pStyle w:val="Header"/>
      <w:spacing w:before="0" w:after="100"/>
      <w:jc w:val="center"/>
      <w:rPr/>
    </w:pPr>
    <w:r>
      <w:rPr/>
      <w:t>Flamingo Hilton, Las Vegas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next w:val="body1"/>
    <w:qFormat/>
    <w:pPr>
      <w:keepNext w:val="true"/>
      <w:pageBreakBefore/>
      <w:widowControl/>
      <w:numPr>
        <w:ilvl w:val="0"/>
        <w:numId w:val="1"/>
      </w:numPr>
      <w:bidi w:val="0"/>
      <w:spacing w:before="240" w:after="360"/>
      <w:jc w:val="center"/>
      <w:outlineLvl w:val="0"/>
    </w:pPr>
    <w:rPr>
      <w:rFonts w:ascii="Arial Black" w:hAnsi="Arial Black" w:eastAsia="Times New Roman" w:cs="Arial Black"/>
      <w:b/>
      <w:color w:val="000080"/>
      <w:kern w:val="2"/>
      <w:sz w:val="32"/>
      <w:szCs w:val="20"/>
      <w:lang w:val="en-US" w:eastAsia="zh-CN" w:bidi="hi-IN"/>
    </w:rPr>
  </w:style>
  <w:style w:type="paragraph" w:styleId="Heading2">
    <w:name w:val="heading 2"/>
    <w:next w:val="body1"/>
    <w:qFormat/>
    <w:pPr>
      <w:keepNext w:val="true"/>
      <w:widowControl/>
      <w:numPr>
        <w:ilvl w:val="1"/>
        <w:numId w:val="1"/>
      </w:numPr>
      <w:bidi w:val="0"/>
      <w:spacing w:before="320" w:after="120"/>
      <w:outlineLvl w:val="1"/>
    </w:pPr>
    <w:rPr>
      <w:rFonts w:ascii="Arial Black" w:hAnsi="Arial Black" w:eastAsia="Times New Roman" w:cs="Arial Black"/>
      <w:color w:val="000080"/>
      <w:sz w:val="24"/>
      <w:szCs w:val="20"/>
      <w:lang w:val="en-US" w:eastAsia="zh-CN" w:bidi="hi-IN"/>
    </w:rPr>
  </w:style>
  <w:style w:type="paragraph" w:styleId="Heading3">
    <w:name w:val="heading 3"/>
    <w:next w:val="body1"/>
    <w:qFormat/>
    <w:pPr>
      <w:keepNext w:val="true"/>
      <w:widowControl/>
      <w:numPr>
        <w:ilvl w:val="2"/>
        <w:numId w:val="1"/>
      </w:numPr>
      <w:tabs>
        <w:tab w:val="clear" w:pos="720"/>
        <w:tab w:val="right" w:pos="8640" w:leader="none"/>
      </w:tabs>
      <w:bidi w:val="0"/>
      <w:spacing w:before="360" w:after="120"/>
      <w:outlineLvl w:val="2"/>
    </w:pPr>
    <w:rPr>
      <w:rFonts w:ascii="Arial Black" w:hAnsi="Arial Black" w:eastAsia="Times New Roman" w:cs="Arial Black"/>
      <w:i/>
      <w:color w:val="000000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Wingdings" w:hAnsi="Wingdings" w:cs="Wingdings"/>
      <w:b/>
      <w:i w:val="false"/>
      <w:sz w:val="18"/>
    </w:rPr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Arial Black" w:hAnsi="Arial Black" w:cs="Arial Black"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top w:val="single" w:sz="18" w:space="4" w:color="808080"/>
        <w:bottom w:val="threeDEmboss" w:sz="24" w:space="4" w:color="000000"/>
      </w:pBdr>
      <w:tabs>
        <w:tab w:val="clear" w:pos="720"/>
        <w:tab w:val="right" w:pos="8928" w:leader="none"/>
      </w:tabs>
      <w:spacing w:before="60" w:after="240"/>
    </w:pPr>
    <w:rPr>
      <w:rFonts w:ascii="Arial Black" w:hAnsi="Arial Black" w:cs="Arial Black"/>
      <w:color w:val="808080"/>
    </w:rPr>
  </w:style>
  <w:style w:type="paragraph" w:styleId="body1">
    <w:name w:val="body1"/>
    <w:basedOn w:val="Normal"/>
    <w:qFormat/>
    <w:pPr>
      <w:spacing w:before="60" w:after="60"/>
    </w:pPr>
    <w:rPr>
      <w:rFonts w:ascii="Garamond" w:hAnsi="Garamond" w:cs="Garamond"/>
      <w:color w:val="000000"/>
      <w:sz w:val="24"/>
    </w:rPr>
  </w:style>
  <w:style w:type="paragraph" w:styleId="Footer">
    <w:name w:val="footer"/>
    <w:pPr>
      <w:widowControl/>
      <w:pBdr>
        <w:top w:val="single" w:sz="18" w:space="1" w:color="808080"/>
      </w:pBdr>
      <w:tabs>
        <w:tab w:val="clear" w:pos="720"/>
        <w:tab w:val="right" w:pos="8928" w:leader="none"/>
      </w:tabs>
      <w:bidi w:val="0"/>
      <w:spacing w:before="120" w:after="0"/>
    </w:pPr>
    <w:rPr>
      <w:rFonts w:ascii="Arial Black" w:hAnsi="Arial Black" w:eastAsia="Times New Roman" w:cs="Arial Black"/>
      <w:color w:val="808080"/>
      <w:sz w:val="20"/>
      <w:szCs w:val="20"/>
      <w:lang w:val="en-CA" w:eastAsia="zh-CN" w:bidi="hi-IN"/>
    </w:rPr>
  </w:style>
  <w:style w:type="paragraph" w:styleId="tableheading">
    <w:name w:val="table heading"/>
    <w:qFormat/>
    <w:pPr>
      <w:widowControl/>
      <w:bidi w:val="0"/>
      <w:spacing w:before="80" w:after="0"/>
      <w:jc w:val="center"/>
    </w:pPr>
    <w:rPr>
      <w:rFonts w:ascii="Arial Black" w:hAnsi="Arial Black" w:eastAsia="Times New Roman" w:cs="Arial Black"/>
      <w:i/>
      <w:color w:val="000000"/>
      <w:sz w:val="20"/>
      <w:szCs w:val="20"/>
      <w:lang w:val="en-US" w:eastAsia="zh-CN" w:bidi="hi-IN"/>
    </w:rPr>
  </w:style>
  <w:style w:type="paragraph" w:styleId="box-b2">
    <w:name w:val="box-b2"/>
    <w:qFormat/>
    <w:pPr>
      <w:widowControl/>
      <w:numPr>
        <w:ilvl w:val="0"/>
        <w:numId w:val="3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TableHeading2">
    <w:name w:val="Table Heading 2"/>
    <w:qFormat/>
    <w:pPr>
      <w:widowControl/>
      <w:bidi w:val="0"/>
      <w:spacing w:before="100" w:after="0"/>
      <w:jc w:val="center"/>
    </w:pPr>
    <w:rPr>
      <w:rFonts w:ascii="Arial Black" w:hAnsi="Arial Black" w:eastAsia="Times New Roman" w:cs="Arial Black"/>
      <w:i/>
      <w:color w:val="000000"/>
      <w:sz w:val="18"/>
      <w:szCs w:val="20"/>
      <w:lang w:val="en-US" w:eastAsia="zh-CN" w:bidi="hi-IN"/>
    </w:rPr>
  </w:style>
  <w:style w:type="paragraph" w:styleId="Standard1">
    <w:name w:val="Standard1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CA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1">
    <w:name w:val="Table Heading1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2000-03-08T11:39:00Z</dcterms:created>
  <dc:creator>Enron</dc:creator>
  <dc:description/>
  <dc:language>en-CA</dc:language>
  <cp:lastModifiedBy>Enron</cp:lastModifiedBy>
  <cp:lastPrinted>2000-02-29T13:13:00Z</cp:lastPrinted>
  <dcterms:modified xsi:type="dcterms:W3CDTF">2000-03-08T12:31:00Z</dcterms:modified>
  <cp:revision>3</cp:revision>
  <dc:subject/>
  <dc:title>Meeting Minutes</dc:title>
</cp:coreProperties>
</file>