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</w:t>
      </w:r>
      <w:r>
        <w:rPr/>
        <w:t xml:space="preserve">BUSINESS ADDRESS: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</w:t>
      </w:r>
      <w:r>
        <w:rPr/>
        <w:t>SECURITIES AND EXCHANGE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</w:t>
      </w:r>
      <w:r>
        <w:rPr/>
        <w:t>Washington, D.C.  20549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  </w:t>
      </w:r>
      <w:r>
        <w:rPr/>
        <w:t>FORM 8-K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</w:t>
      </w:r>
      <w:r>
        <w:rPr/>
        <w:t>CURRENT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Section 13 or 15(d) of the Securities Exchange Act of 1934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</w:t>
      </w:r>
      <w:r>
        <w:rPr/>
        <w:t>Date of Report: August 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Pacific Gas and Electric Company        PG&amp;E Corporation</w:t>
      </w:r>
    </w:p>
    <w:p>
      <w:pPr>
        <w:pStyle w:val="Normal"/>
        <w:rPr/>
      </w:pPr>
      <w:r>
        <w:rPr/>
        <w:t>77 Beale Street, P.O. Box 770000        One Market, Spear Tower, Suite 2400</w:t>
      </w:r>
    </w:p>
    <w:p>
      <w:pPr>
        <w:pStyle w:val="Normal"/>
        <w:rPr/>
      </w:pPr>
      <w:r>
        <w:rPr/>
        <w:t>San Francisco, California  94177        San Francisco, California 94105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Item 5.  Other Events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Valuation and Disposition of Pacific Gas and Electric Company's</w:t>
      </w:r>
    </w:p>
    <w:p>
      <w:pPr>
        <w:pStyle w:val="Normal"/>
        <w:rPr/>
      </w:pPr>
      <w:r>
        <w:rPr/>
        <w:t>Hydroelectric Generation Assets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August 9, 2000, The Utility Reform Network (TURN), Pacific Gas and</w:t>
      </w:r>
    </w:p>
    <w:p>
      <w:pPr>
        <w:pStyle w:val="Normal"/>
        <w:rPr/>
      </w:pPr>
      <w:r>
        <w:rPr/>
        <w:t>Electric Company (Utility), Agricultural Energy Consumers Association</w:t>
      </w:r>
    </w:p>
    <w:p>
      <w:pPr>
        <w:pStyle w:val="Normal"/>
        <w:rPr/>
      </w:pPr>
      <w:r>
        <w:rPr/>
        <w:t>(AECA), the Coalition of California Utility Employees (CUE), California</w:t>
      </w:r>
    </w:p>
    <w:p>
      <w:pPr>
        <w:pStyle w:val="Normal"/>
        <w:rPr/>
      </w:pPr>
      <w:r>
        <w:rPr/>
        <w:t>Retailers Association, Sonoma County Water Agency, and Tuolumne Utility</w:t>
      </w:r>
    </w:p>
    <w:p>
      <w:pPr>
        <w:pStyle w:val="Normal"/>
        <w:rPr/>
      </w:pPr>
      <w:r>
        <w:rPr/>
        <w:t>District, filed an application with the California Public Utilities</w:t>
      </w:r>
    </w:p>
    <w:p>
      <w:pPr>
        <w:pStyle w:val="Normal"/>
        <w:rPr/>
      </w:pPr>
      <w:r>
        <w:rPr/>
        <w:t>Commission (CPUC) requesting that the CPUC approve a settlement agreement</w:t>
      </w:r>
    </w:p>
    <w:p>
      <w:pPr>
        <w:pStyle w:val="Normal"/>
        <w:rPr/>
      </w:pPr>
      <w:r>
        <w:rPr/>
        <w:t>reached by these parties in the Utility's proceeding to determine the</w:t>
      </w:r>
    </w:p>
    <w:p>
      <w:pPr>
        <w:pStyle w:val="Normal"/>
        <w:rPr/>
      </w:pPr>
      <w:r>
        <w:rPr/>
        <w:t>market value of its hydroelectric generating assets. (The Utility is a</w:t>
      </w:r>
    </w:p>
    <w:p>
      <w:pPr>
        <w:pStyle w:val="Normal"/>
        <w:rPr/>
      </w:pPr>
      <w:r>
        <w:rPr/>
        <w:t>subsidiary of PG&amp;E Corporation.)  In this proceeding, the Utility</w:t>
      </w:r>
    </w:p>
    <w:p>
      <w:pPr>
        <w:pStyle w:val="Normal"/>
        <w:rPr/>
      </w:pPr>
      <w:r>
        <w:rPr/>
        <w:t>previously had proposed to determine the market value of its hydroelectric</w:t>
      </w:r>
    </w:p>
    <w:p>
      <w:pPr>
        <w:pStyle w:val="Normal"/>
        <w:rPr/>
      </w:pPr>
      <w:r>
        <w:rPr/>
        <w:t>generating facilities and related assets through an open competitive</w:t>
      </w:r>
    </w:p>
    <w:p>
      <w:pPr>
        <w:pStyle w:val="Normal"/>
        <w:rPr/>
      </w:pPr>
      <w:r>
        <w:rPr/>
        <w:t>auction.  As previously disclosed, the Utility indicated that, instead of</w:t>
      </w:r>
    </w:p>
    <w:p>
      <w:pPr>
        <w:pStyle w:val="Normal"/>
        <w:rPr/>
      </w:pPr>
      <w:r>
        <w:rPr/>
        <w:t>an auction, it was willing to accept a possible compromise within a</w:t>
      </w:r>
    </w:p>
    <w:p>
      <w:pPr>
        <w:pStyle w:val="Normal"/>
        <w:rPr/>
      </w:pPr>
      <w:r>
        <w:rPr/>
        <w:t>framework that would transfer the hydroelectric facilities at a fair value</w:t>
      </w:r>
    </w:p>
    <w:p>
      <w:pPr>
        <w:pStyle w:val="Normal"/>
        <w:rPr/>
      </w:pPr>
      <w:r>
        <w:rPr/>
        <w:t>to a non-utility affiliate subject to a revenue sharing agreement between</w:t>
      </w:r>
    </w:p>
    <w:p>
      <w:pPr>
        <w:pStyle w:val="Normal"/>
        <w:rPr/>
      </w:pPr>
      <w:r>
        <w:rPr/>
        <w:t>the affiliate and the Utility.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Under the proposed settlement: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The Utility would transfer its hydroelectric generating assets, at a</w:t>
      </w:r>
    </w:p>
    <w:p>
      <w:pPr>
        <w:pStyle w:val="Normal"/>
        <w:rPr/>
      </w:pPr>
      <w:r>
        <w:rPr/>
        <w:t>value of $2.8 billion, to an affiliate that would not be regulated by</w:t>
      </w:r>
    </w:p>
    <w:p>
      <w:pPr>
        <w:pStyle w:val="Normal"/>
        <w:rPr/>
      </w:pPr>
      <w:r>
        <w:rPr/>
        <w:t>the CPUC (referred to herein as PG&amp;E CalHydro).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The Utility would credit its Transition Revenue Account (TRA) the amount</w:t>
      </w:r>
    </w:p>
    <w:p>
      <w:pPr>
        <w:pStyle w:val="Normal"/>
        <w:rPr/>
      </w:pPr>
      <w:r>
        <w:rPr/>
        <w:t>by which $2.8 billion exceeds the book value of the Utility's net</w:t>
      </w:r>
    </w:p>
    <w:p>
      <w:pPr>
        <w:pStyle w:val="Normal"/>
        <w:rPr/>
      </w:pPr>
      <w:r>
        <w:rPr/>
        <w:t>investment in hydroelectric generation assets, plus post-March 31, 1998</w:t>
      </w:r>
    </w:p>
    <w:p>
      <w:pPr>
        <w:pStyle w:val="Normal"/>
        <w:rPr/>
      </w:pPr>
      <w:r>
        <w:rPr/>
        <w:t>capital additions, and transaction costs.  At June 30, 2000, the book</w:t>
      </w:r>
    </w:p>
    <w:p>
      <w:pPr>
        <w:pStyle w:val="Normal"/>
        <w:rPr/>
      </w:pPr>
      <w:r>
        <w:rPr/>
        <w:t>value of the Utility's net investment in hydroelectric generation assets</w:t>
      </w:r>
    </w:p>
    <w:p>
      <w:pPr>
        <w:pStyle w:val="Normal"/>
        <w:rPr/>
      </w:pPr>
      <w:r>
        <w:rPr/>
        <w:t>was approximately $0.7 billion. The TRA is a balancing account that is</w:t>
      </w:r>
    </w:p>
    <w:p>
      <w:pPr>
        <w:pStyle w:val="Normal"/>
        <w:rPr/>
      </w:pPr>
      <w:r>
        <w:rPr/>
        <w:t>credited with revenues collected from ratepayers through frozen rates.</w:t>
      </w:r>
    </w:p>
    <w:p>
      <w:pPr>
        <w:pStyle w:val="Normal"/>
        <w:rPr/>
      </w:pPr>
      <w:r>
        <w:rPr/>
        <w:t>These revenues provide for the recovery of authorized Utility costs,</w:t>
      </w:r>
    </w:p>
    <w:p>
      <w:pPr>
        <w:pStyle w:val="Normal"/>
        <w:rPr/>
      </w:pPr>
      <w:r>
        <w:rPr/>
        <w:t>including transmission and distribution service, public purpose</w:t>
      </w:r>
    </w:p>
    <w:p>
      <w:pPr>
        <w:pStyle w:val="Normal"/>
        <w:rPr/>
      </w:pPr>
      <w:r>
        <w:rPr/>
        <w:t>programs, nuclear decommissioning, rate reduction bond debt service, and</w:t>
      </w:r>
    </w:p>
    <w:p>
      <w:pPr>
        <w:pStyle w:val="Normal"/>
        <w:rPr/>
      </w:pPr>
      <w:r>
        <w:rPr/>
        <w:t>the cost of procuring electricity for the Utility's bundled service</w:t>
      </w:r>
    </w:p>
    <w:p>
      <w:pPr>
        <w:pStyle w:val="Normal"/>
        <w:rPr/>
      </w:pPr>
      <w:r>
        <w:rPr/>
        <w:t>customers. Remaining revenues, if any, are used to offset transition</w:t>
      </w:r>
    </w:p>
    <w:p>
      <w:pPr>
        <w:pStyle w:val="Normal"/>
        <w:rPr/>
      </w:pPr>
      <w:r>
        <w:rPr/>
        <w:t>costs.  The credit to the TRA would be used first to offset deferred</w:t>
      </w:r>
    </w:p>
    <w:p>
      <w:pPr>
        <w:pStyle w:val="Normal"/>
        <w:rPr/>
      </w:pPr>
      <w:r>
        <w:rPr/>
        <w:t>costs with any balance remaining being used to offset transition costs.</w:t>
      </w:r>
    </w:p>
    <w:p>
      <w:pPr>
        <w:pStyle w:val="Normal"/>
        <w:rPr/>
      </w:pPr>
      <w:r>
        <w:rPr/>
        <w:t>Because the Utility would receive the $2.8 billion value as a credit to</w:t>
      </w:r>
    </w:p>
    <w:p>
      <w:pPr>
        <w:pStyle w:val="Normal"/>
        <w:rPr/>
      </w:pPr>
      <w:r>
        <w:rPr/>
        <w:t>the TRA and not in the form of cash proceeds, the Utility would incur a</w:t>
      </w:r>
    </w:p>
    <w:p>
      <w:pPr>
        <w:pStyle w:val="Normal"/>
        <w:rPr/>
      </w:pPr>
      <w:r>
        <w:rPr/>
        <w:t>material charge of approximately $2.1 billion (pre-tax) to write off</w:t>
      </w:r>
    </w:p>
    <w:p>
      <w:pPr>
        <w:pStyle w:val="Normal"/>
        <w:rPr/>
      </w:pPr>
      <w:r>
        <w:rPr/>
        <w:t>generation-related regulatory assets comprised of the TRA and transition</w:t>
      </w:r>
    </w:p>
    <w:p>
      <w:pPr>
        <w:pStyle w:val="Normal"/>
        <w:rPr/>
      </w:pPr>
      <w:r>
        <w:rPr/>
        <w:t>costs.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The credit to the TRA would be made no later than the date the CPUC</w:t>
      </w:r>
    </w:p>
    <w:p>
      <w:pPr>
        <w:pStyle w:val="Normal"/>
        <w:rPr/>
      </w:pPr>
      <w:r>
        <w:rPr/>
        <w:t>order approving the settlement agreement and the revenue sharing</w:t>
      </w:r>
    </w:p>
    <w:p>
      <w:pPr>
        <w:pStyle w:val="Normal"/>
        <w:rPr/>
      </w:pPr>
      <w:r>
        <w:rPr/>
        <w:t>agreement (RSA) becomes final and non-appealable.  If the CPUC order</w:t>
      </w:r>
    </w:p>
    <w:p>
      <w:pPr>
        <w:pStyle w:val="Normal"/>
        <w:rPr/>
      </w:pPr>
      <w:r>
        <w:rPr/>
        <w:t>does not become final and non-appealable by October 1, 2001, and if the</w:t>
      </w:r>
    </w:p>
    <w:p>
      <w:pPr>
        <w:pStyle w:val="Normal"/>
        <w:rPr/>
      </w:pPr>
      <w:r>
        <w:rPr/>
        <w:t>credit has not yet been made, then the settlement agreement and the RSA</w:t>
      </w:r>
    </w:p>
    <w:p>
      <w:pPr>
        <w:pStyle w:val="Normal"/>
        <w:rPr/>
      </w:pPr>
      <w:r>
        <w:rPr/>
        <w:t>would terminate.  Alternatively, if the TRA credit has been made before</w:t>
      </w:r>
    </w:p>
    <w:p>
      <w:pPr>
        <w:pStyle w:val="Normal"/>
        <w:rPr/>
      </w:pPr>
      <w:r>
        <w:rPr/>
        <w:t>the CPUC order becomes final and non-appealable, and if the CPUC order</w:t>
      </w:r>
    </w:p>
    <w:p>
      <w:pPr>
        <w:pStyle w:val="Normal"/>
        <w:rPr/>
      </w:pPr>
      <w:r>
        <w:rPr/>
        <w:t>is reversed on appeal or otherwise modified in a manner unacceptable to</w:t>
      </w:r>
    </w:p>
    <w:p>
      <w:pPr>
        <w:pStyle w:val="Normal"/>
        <w:rPr/>
      </w:pPr>
      <w:r>
        <w:rPr/>
        <w:t>the Utility, then the settlement agreement and the RSA would terminate.</w:t>
      </w:r>
    </w:p>
    <w:p>
      <w:pPr>
        <w:pStyle w:val="Normal"/>
        <w:rPr/>
      </w:pPr>
      <w:r>
        <w:rPr/>
        <w:t>In either event, the CPUC would determine which of the remaining</w:t>
      </w:r>
    </w:p>
    <w:p>
      <w:pPr>
        <w:pStyle w:val="Normal"/>
        <w:rPr/>
      </w:pPr>
      <w:r>
        <w:rPr/>
        <w:t>valuation alternatives would be used to market value the hydroelectric</w:t>
      </w:r>
    </w:p>
    <w:p>
      <w:pPr>
        <w:pStyle w:val="Normal"/>
        <w:rPr/>
      </w:pPr>
      <w:r>
        <w:rPr/>
        <w:t>assets by December 31, 2001, as required by the California electric</w:t>
      </w:r>
    </w:p>
    <w:p>
      <w:pPr>
        <w:pStyle w:val="Normal"/>
        <w:rPr/>
      </w:pPr>
      <w:r>
        <w:rPr/>
        <w:t>industry restructuring law.  If the Utility had made a credit to the</w:t>
      </w:r>
    </w:p>
    <w:p>
      <w:pPr>
        <w:pStyle w:val="Normal"/>
        <w:rPr/>
      </w:pPr>
      <w:r>
        <w:rPr/>
        <w:t>TRA, the difference between the TRA credit and the valuation ultimately</w:t>
      </w:r>
    </w:p>
    <w:p>
      <w:pPr>
        <w:pStyle w:val="Normal"/>
        <w:rPr/>
      </w:pPr>
      <w:r>
        <w:rPr/>
        <w:t>reached by the CPUC, if any, would be recovered from or credited to the</w:t>
      </w:r>
    </w:p>
    <w:p>
      <w:pPr>
        <w:pStyle w:val="Normal"/>
        <w:rPr/>
      </w:pPr>
      <w:r>
        <w:rPr/>
        <w:t>Utility's distribution customers.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The Utility and PG&amp;E CalHydro would enter into a 40-year revenue sharing</w:t>
      </w:r>
    </w:p>
    <w:p>
      <w:pPr>
        <w:pStyle w:val="Normal"/>
        <w:rPr/>
      </w:pPr>
      <w:r>
        <w:rPr/>
        <w:t>agreement.  Under the RSA, PG&amp;E CalHydro would be allowed to recover an</w:t>
      </w:r>
    </w:p>
    <w:p>
      <w:pPr>
        <w:pStyle w:val="Normal"/>
        <w:rPr/>
      </w:pPr>
      <w:r>
        <w:rPr/>
        <w:t>authorized, inflation-indexed operations and maintenance allowance,</w:t>
      </w:r>
    </w:p>
    <w:p>
      <w:pPr>
        <w:pStyle w:val="Normal"/>
        <w:rPr/>
      </w:pPr>
      <w:r>
        <w:rPr/>
        <w:t>certain other expenses including an allowance for capital additions, and</w:t>
      </w:r>
    </w:p>
    <w:p>
      <w:pPr>
        <w:pStyle w:val="Normal"/>
        <w:rPr/>
      </w:pPr>
      <w:r>
        <w:rPr/>
        <w:t>a return on capital investment. The return on equity (ROE) would</w:t>
      </w:r>
    </w:p>
    <w:p>
      <w:pPr>
        <w:pStyle w:val="Normal"/>
        <w:rPr/>
      </w:pPr>
      <w:r>
        <w:rPr/>
        <w:t>initially be set at 12.50 percent and would be subject to an indexed</w:t>
      </w:r>
    </w:p>
    <w:p>
      <w:pPr>
        <w:pStyle w:val="Normal"/>
        <w:rPr/>
      </w:pPr>
      <w:r>
        <w:rPr/>
        <w:t>adjustment trigger. Under the RSA, 90 percent of the after-tax earnings</w:t>
      </w:r>
    </w:p>
    <w:p>
      <w:pPr>
        <w:pStyle w:val="Normal"/>
        <w:rPr/>
      </w:pPr>
      <w:r>
        <w:rPr/>
        <w:t>received in excess of the agreed-upon costs (including the target ROE)</w:t>
      </w:r>
    </w:p>
    <w:p>
      <w:pPr>
        <w:pStyle w:val="Normal"/>
        <w:rPr/>
      </w:pPr>
      <w:r>
        <w:rPr/>
        <w:t>would be returned to the Utility to be used as a credit against current</w:t>
      </w:r>
    </w:p>
    <w:p>
      <w:pPr>
        <w:pStyle w:val="Normal"/>
        <w:rPr/>
      </w:pPr>
      <w:r>
        <w:rPr/>
        <w:t>costs charged to the Utility's distribution ratepayers. If market</w:t>
      </w:r>
    </w:p>
    <w:p>
      <w:pPr>
        <w:pStyle w:val="Normal"/>
        <w:rPr/>
      </w:pPr>
      <w:r>
        <w:rPr/>
        <w:t>revenues were insufficient to recover the agreed-upon costs of operating</w:t>
      </w:r>
    </w:p>
    <w:p>
      <w:pPr>
        <w:pStyle w:val="Normal"/>
        <w:rPr/>
      </w:pPr>
      <w:r>
        <w:rPr/>
        <w:t>the hydroelectric facilities (including the target ROE) over a multi-</w:t>
      </w:r>
    </w:p>
    <w:p>
      <w:pPr>
        <w:pStyle w:val="Normal"/>
        <w:rPr/>
      </w:pPr>
      <w:r>
        <w:rPr/>
        <w:t>year period, 90 percent of the revenue shortfalls would be charged to</w:t>
      </w:r>
    </w:p>
    <w:p>
      <w:pPr>
        <w:pStyle w:val="Normal"/>
        <w:rPr/>
      </w:pPr>
      <w:r>
        <w:rPr/>
        <w:t>the Utility to be recovered from distribution customers. The RSA would</w:t>
      </w:r>
    </w:p>
    <w:p>
      <w:pPr>
        <w:pStyle w:val="Normal"/>
        <w:rPr/>
      </w:pPr>
      <w:r>
        <w:rPr/>
        <w:t>become effective on the date that the CPUC final order approving the</w:t>
      </w:r>
    </w:p>
    <w:p>
      <w:pPr>
        <w:pStyle w:val="Normal"/>
        <w:rPr/>
      </w:pPr>
      <w:r>
        <w:rPr/>
        <w:t>settlement and the RSA becomes final and non-appealable, subject to</w:t>
      </w:r>
    </w:p>
    <w:p>
      <w:pPr>
        <w:pStyle w:val="Normal"/>
        <w:rPr/>
      </w:pPr>
      <w:r>
        <w:rPr/>
        <w:t>termination by either the Utility or PG&amp;E CalHydro in certain</w:t>
      </w:r>
    </w:p>
    <w:p>
      <w:pPr>
        <w:pStyle w:val="Normal"/>
        <w:rPr/>
      </w:pPr>
      <w:r>
        <w:rPr/>
        <w:t>circumstances.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During the first ten years of the RSA, PG&amp;E CalHydro would not be</w:t>
      </w:r>
    </w:p>
    <w:p>
      <w:pPr>
        <w:pStyle w:val="Normal"/>
        <w:rPr/>
      </w:pPr>
      <w:r>
        <w:rPr/>
        <w:t>permitted to sell or otherwise dispose of any hydroelectric asset</w:t>
      </w:r>
    </w:p>
    <w:p>
      <w:pPr>
        <w:pStyle w:val="Normal"/>
        <w:rPr/>
      </w:pPr>
      <w:r>
        <w:rPr/>
        <w:t>(except for certain minority interests) unless the facility is rendered</w:t>
      </w:r>
    </w:p>
    <w:p>
      <w:pPr>
        <w:pStyle w:val="Normal"/>
        <w:rPr/>
      </w:pPr>
      <w:r>
        <w:rPr/>
        <w:t>uneconomic as a result of a regulatory or legal mandate or catastrophic</w:t>
      </w:r>
    </w:p>
    <w:p>
      <w:pPr>
        <w:pStyle w:val="Normal"/>
        <w:rPr/>
      </w:pPr>
      <w:r>
        <w:rPr/>
        <w:t>event, or unless divestiture is necessary to comply with market power</w:t>
      </w:r>
    </w:p>
    <w:p>
      <w:pPr>
        <w:pStyle w:val="Normal"/>
        <w:rPr/>
      </w:pPr>
      <w:r>
        <w:rPr/>
        <w:t>mitigation conditions. PG&amp;E CalHydro also would be allowed to transfer</w:t>
      </w:r>
    </w:p>
    <w:p>
      <w:pPr>
        <w:pStyle w:val="Normal"/>
        <w:rPr/>
      </w:pPr>
      <w:r>
        <w:rPr/>
        <w:t>the hydroelectric assets to separate affiliated entities (such as</w:t>
      </w:r>
    </w:p>
    <w:p>
      <w:pPr>
        <w:pStyle w:val="Normal"/>
        <w:rPr/>
      </w:pPr>
      <w:r>
        <w:rPr/>
        <w:t>limited liability corporations), provided the transferee takes such</w:t>
      </w:r>
    </w:p>
    <w:p>
      <w:pPr>
        <w:pStyle w:val="Normal"/>
        <w:rPr/>
      </w:pPr>
      <w:r>
        <w:rPr/>
        <w:t>assets subject to the terms of the parties' agreement. After the first</w:t>
      </w:r>
    </w:p>
    <w:p>
      <w:pPr>
        <w:pStyle w:val="Normal"/>
        <w:rPr/>
      </w:pPr>
      <w:r>
        <w:rPr/>
        <w:t>ten years of the RSA, PG&amp;E CalHydro would be allowed to sell any</w:t>
      </w:r>
    </w:p>
    <w:p>
      <w:pPr>
        <w:pStyle w:val="Normal"/>
        <w:rPr/>
      </w:pPr>
      <w:r>
        <w:rPr/>
        <w:t>hydroelectric asset at fair market value, but the amount of the sale</w:t>
      </w:r>
    </w:p>
    <w:p>
      <w:pPr>
        <w:pStyle w:val="Normal"/>
        <w:rPr/>
      </w:pPr>
      <w:r>
        <w:rPr/>
        <w:t>proceeds that exceed book value would be shared with ratepayers</w:t>
      </w:r>
    </w:p>
    <w:p>
      <w:pPr>
        <w:pStyle w:val="Normal"/>
        <w:rPr/>
      </w:pPr>
      <w:r>
        <w:rPr/>
        <w:t>consistent with the revenue sharing formula.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Recognizing that the Utility will incur a material charge when the</w:t>
      </w:r>
    </w:p>
    <w:p>
      <w:pPr>
        <w:pStyle w:val="Normal"/>
        <w:rPr/>
      </w:pPr>
      <w:r>
        <w:rPr/>
        <w:t>generation-related regulatory assets are written off that would reduce</w:t>
      </w:r>
    </w:p>
    <w:p>
      <w:pPr>
        <w:pStyle w:val="Normal"/>
        <w:rPr/>
      </w:pPr>
      <w:r>
        <w:rPr/>
        <w:t>the Utility's equity ratio below its current CPUC-authorized equity</w:t>
      </w:r>
    </w:p>
    <w:p>
      <w:pPr>
        <w:pStyle w:val="Normal"/>
        <w:rPr/>
      </w:pPr>
      <w:r>
        <w:rPr/>
        <w:t>ratio of 48 percent, the agreement provides that the Utility would be</w:t>
      </w:r>
    </w:p>
    <w:p>
      <w:pPr>
        <w:pStyle w:val="Normal"/>
        <w:rPr/>
      </w:pPr>
      <w:r>
        <w:rPr/>
        <w:t>given one year from the date of the transfer to restore its capital</w:t>
      </w:r>
    </w:p>
    <w:p>
      <w:pPr>
        <w:pStyle w:val="Normal"/>
        <w:rPr/>
      </w:pPr>
      <w:r>
        <w:rPr/>
        <w:t>structure to its current CPUC-authorized equity ratio.  During this</w:t>
      </w:r>
    </w:p>
    <w:p>
      <w:pPr>
        <w:pStyle w:val="Normal"/>
        <w:rPr/>
      </w:pPr>
      <w:r>
        <w:rPr/>
        <w:t>period, the CPUC would not adjust the Utility's revenues or rates to</w:t>
      </w:r>
    </w:p>
    <w:p>
      <w:pPr>
        <w:pStyle w:val="Normal"/>
        <w:rPr/>
      </w:pPr>
      <w:r>
        <w:rPr/>
        <w:t>reflect the interim capital structure.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The potential market power impacts of the post-transfer asset ownership</w:t>
      </w:r>
    </w:p>
    <w:p>
      <w:pPr>
        <w:pStyle w:val="Normal"/>
        <w:rPr/>
      </w:pPr>
      <w:r>
        <w:rPr/>
        <w:t>would be mitigated by an agreement between PG&amp;E CalHydro and the</w:t>
      </w:r>
    </w:p>
    <w:p>
      <w:pPr>
        <w:pStyle w:val="Normal"/>
        <w:rPr/>
      </w:pPr>
      <w:r>
        <w:rPr/>
        <w:t>California Independent System Operator (ISO) to make 95 percent of the</w:t>
      </w:r>
    </w:p>
    <w:p>
      <w:pPr>
        <w:pStyle w:val="Normal"/>
        <w:rPr/>
      </w:pPr>
      <w:r>
        <w:rPr/>
        <w:t>hydroelectric power available for both energy and ancillary service and</w:t>
      </w:r>
    </w:p>
    <w:p>
      <w:pPr>
        <w:pStyle w:val="Normal"/>
        <w:rPr/>
      </w:pPr>
      <w:r>
        <w:rPr/>
        <w:t>to impose maximum price bids during specified peak hours (a "mitigation</w:t>
      </w:r>
    </w:p>
    <w:p>
      <w:pPr>
        <w:pStyle w:val="Normal"/>
        <w:rPr/>
      </w:pPr>
      <w:r>
        <w:rPr/>
        <w:t>agreement"). The mitigation agreement would provide that power from the</w:t>
      </w:r>
    </w:p>
    <w:p>
      <w:pPr>
        <w:pStyle w:val="Normal"/>
        <w:rPr/>
      </w:pPr>
      <w:r>
        <w:rPr/>
        <w:t>hydroelectric assets will not be bid into the energy market in a way</w:t>
      </w:r>
    </w:p>
    <w:p>
      <w:pPr>
        <w:pStyle w:val="Normal"/>
        <w:rPr/>
      </w:pPr>
      <w:r>
        <w:rPr/>
        <w:t>that can raise power prices. The mitigation agreement is subject to ISO</w:t>
      </w:r>
    </w:p>
    <w:p>
      <w:pPr>
        <w:pStyle w:val="Normal"/>
        <w:rPr/>
      </w:pPr>
      <w:r>
        <w:rPr/>
        <w:t>Board approval. In light of the mitigation agreement, the parties have</w:t>
      </w:r>
    </w:p>
    <w:p>
      <w:pPr>
        <w:pStyle w:val="Normal"/>
        <w:rPr/>
      </w:pPr>
      <w:r>
        <w:rPr/>
        <w:t>agreed to advocate and support approval of market-based pricing</w:t>
      </w:r>
    </w:p>
    <w:p>
      <w:pPr>
        <w:pStyle w:val="Normal"/>
        <w:rPr/>
      </w:pPr>
      <w:r>
        <w:rPr/>
        <w:t>authority for the hydroelectric assets by the Federal Energy Regulatory</w:t>
      </w:r>
    </w:p>
    <w:p>
      <w:pPr>
        <w:pStyle w:val="Normal"/>
        <w:rPr/>
      </w:pPr>
      <w:r>
        <w:rPr/>
        <w:t>Commission (FERC).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The hydroelectric assets would be operated by PG&amp;E CalHydro in</w:t>
      </w:r>
    </w:p>
    <w:p>
      <w:pPr>
        <w:pStyle w:val="Normal"/>
        <w:rPr/>
      </w:pPr>
      <w:r>
        <w:rPr/>
        <w:t>accordance with all applicable terms and conditions of the FERC licenses</w:t>
      </w:r>
    </w:p>
    <w:p>
      <w:pPr>
        <w:pStyle w:val="Normal"/>
        <w:rPr/>
      </w:pPr>
      <w:r>
        <w:rPr/>
        <w:t>and other environmental, water, agricultural, and regulatory permits and</w:t>
      </w:r>
    </w:p>
    <w:p>
      <w:pPr>
        <w:pStyle w:val="Normal"/>
        <w:rPr/>
      </w:pPr>
      <w:r>
        <w:rPr/>
        <w:t>agreements.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PG&amp;E CalHydro would agree to abide by the successor obligations that the</w:t>
      </w:r>
    </w:p>
    <w:p>
      <w:pPr>
        <w:pStyle w:val="Normal"/>
        <w:rPr/>
      </w:pPr>
      <w:r>
        <w:rPr/>
        <w:t>Utility is required to impose upon the acquiring affiliate under its</w:t>
      </w:r>
    </w:p>
    <w:p>
      <w:pPr>
        <w:pStyle w:val="Normal"/>
        <w:rPr/>
      </w:pPr>
      <w:r>
        <w:rPr/>
        <w:t>collective bargaining agreement, including extending job offers to</w:t>
      </w:r>
    </w:p>
    <w:p>
      <w:pPr>
        <w:pStyle w:val="Normal"/>
        <w:rPr/>
      </w:pPr>
      <w:r>
        <w:rPr/>
        <w:t>affected employees in all transferred departments and adopting the</w:t>
      </w:r>
    </w:p>
    <w:p>
      <w:pPr>
        <w:pStyle w:val="Normal"/>
        <w:rPr/>
      </w:pPr>
      <w:r>
        <w:rPr/>
        <w:t>existing labor contract, modified to reflect PG&amp;E CalHydro as the new</w:t>
      </w:r>
    </w:p>
    <w:p>
      <w:pPr>
        <w:pStyle w:val="Normal"/>
        <w:rPr/>
      </w:pPr>
      <w:r>
        <w:rPr/>
        <w:t>employer.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-- PG&amp;E Corporation would also donate conservation easements on, or donate</w:t>
      </w:r>
    </w:p>
    <w:p>
      <w:pPr>
        <w:pStyle w:val="Normal"/>
        <w:rPr/>
      </w:pPr>
      <w:r>
        <w:rPr/>
        <w:t>in fee, approximately 140,000 acres of lands associated with the</w:t>
      </w:r>
    </w:p>
    <w:p>
      <w:pPr>
        <w:pStyle w:val="Normal"/>
        <w:rPr/>
      </w:pPr>
      <w:r>
        <w:rPr/>
        <w:t>hydroelectric assets to one or more qualified public entities, state or</w:t>
      </w:r>
    </w:p>
    <w:p>
      <w:pPr>
        <w:pStyle w:val="Normal"/>
        <w:rPr/>
      </w:pPr>
      <w:r>
        <w:rPr/>
        <w:t>local agencies or land conservation organizations whose ownership would</w:t>
      </w:r>
    </w:p>
    <w:p>
      <w:pPr>
        <w:pStyle w:val="Normal"/>
        <w:rPr/>
      </w:pPr>
      <w:r>
        <w:rPr/>
        <w:t>be consistent with certain conservation objectives. Further, under the</w:t>
      </w:r>
    </w:p>
    <w:p>
      <w:pPr>
        <w:pStyle w:val="Normal"/>
        <w:rPr/>
      </w:pPr>
      <w:r>
        <w:rPr/>
        <w:t>agreement, a $70 million fund would be established to enhance</w:t>
      </w:r>
    </w:p>
    <w:p>
      <w:pPr>
        <w:pStyle w:val="Normal"/>
        <w:rPr/>
      </w:pPr>
      <w:r>
        <w:rPr/>
        <w:t>environmental quality, water quality, and recreational opportunities.</w:t>
      </w:r>
    </w:p>
    <w:p>
      <w:pPr>
        <w:pStyle w:val="Normal"/>
        <w:rPr/>
      </w:pPr>
      <w:r>
        <w:rPr/>
        <w:t>The costs of the fund would be part of PG&amp;E CalHydro's agreed-upon costs</w:t>
      </w:r>
    </w:p>
    <w:p>
      <w:pPr>
        <w:pStyle w:val="Normal"/>
        <w:rPr/>
      </w:pPr>
      <w:r>
        <w:rPr/>
        <w:t>under the RSA.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copy of the settlement agreement, including the RSA, is available on the</w:t>
      </w:r>
    </w:p>
    <w:p>
      <w:pPr>
        <w:pStyle w:val="Normal"/>
        <w:rPr/>
      </w:pPr>
      <w:r>
        <w:rPr/>
        <w:t>Utility's website at www.pge.com.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CPUC may accept the settlement or reject it, suggest changes to it, or</w:t>
      </w:r>
    </w:p>
    <w:p>
      <w:pPr>
        <w:pStyle w:val="Normal"/>
        <w:rPr/>
      </w:pPr>
      <w:r>
        <w:rPr/>
        <w:t>adopt a different valuation approach.  It is anticipated that the CPUC will</w:t>
      </w:r>
    </w:p>
    <w:p>
      <w:pPr>
        <w:pStyle w:val="Normal"/>
        <w:rPr/>
      </w:pPr>
      <w:r>
        <w:rPr/>
        <w:t>receive written comments on the proposed settlement, schedule evidentiary</w:t>
      </w:r>
    </w:p>
    <w:p>
      <w:pPr>
        <w:pStyle w:val="Normal"/>
        <w:rPr/>
      </w:pPr>
      <w:r>
        <w:rPr/>
        <w:t>hearings, establish a briefing schedule, and evaluate the proposed</w:t>
      </w:r>
    </w:p>
    <w:p>
      <w:pPr>
        <w:pStyle w:val="Normal"/>
        <w:rPr/>
      </w:pPr>
      <w:r>
        <w:rPr/>
        <w:t>settlement as part of the ongoing review under the California Environmental</w:t>
      </w:r>
    </w:p>
    <w:p>
      <w:pPr>
        <w:pStyle w:val="Normal"/>
        <w:rPr/>
      </w:pPr>
      <w:r>
        <w:rPr/>
        <w:t>Quality Act (CEQA) before issuing a proposed decision in the proceeding.</w:t>
      </w:r>
    </w:p>
    <w:p>
      <w:pPr>
        <w:pStyle w:val="Normal"/>
        <w:rPr/>
      </w:pPr>
      <w:r>
        <w:rPr/>
        <w:t>In addition, the transfer of the assets from the Utility to PG&amp;E Cal-Hydro</w:t>
      </w:r>
    </w:p>
    <w:p>
      <w:pPr>
        <w:pStyle w:val="Normal"/>
        <w:rPr/>
      </w:pPr>
      <w:r>
        <w:rPr/>
        <w:t>will require the approval of the FERC.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&lt;PAGE&gt;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SIGNATURE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the requirements of the Securities Exchange Act of 1934, the</w:t>
      </w:r>
    </w:p>
    <w:p>
      <w:pPr>
        <w:pStyle w:val="Normal"/>
        <w:rPr/>
      </w:pPr>
      <w:r>
        <w:rPr/>
        <w:t>registrants have duly caused this report to be signed on their behalf by</w:t>
      </w:r>
    </w:p>
    <w:p>
      <w:pPr>
        <w:pStyle w:val="Normal"/>
        <w:rPr/>
      </w:pPr>
      <w:r>
        <w:rPr/>
        <w:t>the undersigned thereunto duly authorized.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</w:t>
      </w:r>
      <w:r>
        <w:rPr/>
        <w:t>PG&amp;E 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</w:t>
      </w:r>
      <w:r>
        <w:rPr/>
        <w:t>By CHRISTOPHER P. JOHNS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---------------------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CHRISTOPHER P. JOHNS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Vice President and Controller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</w:t>
      </w:r>
      <w:r>
        <w:rPr/>
        <w:t>PACIFIC GAS AND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</w:t>
      </w:r>
      <w:r>
        <w:rPr/>
        <w:t>By KENT M. HARVEY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---------------------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KENT M. HARVEY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Senior Vice President, Treasurer, Chief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Financial Officer, and Controller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Dated: August 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2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2000-09-20T15:05:00Z</dcterms:created>
  <dc:creator>smara</dc:creator>
  <dc:description/>
  <dc:language>en-CA</dc:language>
  <cp:lastModifiedBy>smara</cp:lastModifiedBy>
  <dcterms:modified xsi:type="dcterms:W3CDTF">2000-09-20T15:09:00Z</dcterms:modified>
  <cp:revision>1</cp:revision>
  <dc:subject/>
  <dc:title>                        BUSINESS ADDRESS:       </dc:title>
</cp:coreProperties>
</file>