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media/image1.wmf" ContentType="image/x-wmf"/>
  <Override PartName="/word/footer8.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20.xml.rels" ContentType="application/vnd.openxmlformats-package.relationships+xml"/>
  <Override PartName="/word/_rels/header18.xml.rels" ContentType="application/vnd.openxmlformats-package.relationships+xml"/>
  <Override PartName="/word/_rels/header2.xml.rels" ContentType="application/vnd.openxmlformats-package.relationships+xml"/>
  <Override PartName="/word/_rels/header28.xml.rels" ContentType="application/vnd.openxmlformats-package.relationships+xml"/>
  <Override PartName="/word/_rels/header16.xml.rels" ContentType="application/vnd.openxmlformats-package.relationships+xml"/>
  <Override PartName="/word/_rels/header26.xml.rels" ContentType="application/vnd.openxmlformats-package.relationships+xml"/>
  <Override PartName="/word/_rels/header24.xml.rels" ContentType="application/vnd.openxmlformats-package.relationships+xml"/>
  <Override PartName="/word/_rels/header12.xml.rels" ContentType="application/vnd.openxmlformats-package.relationships+xml"/>
  <Override PartName="/word/_rels/header1.xml.rels" ContentType="application/vnd.openxmlformats-package.relationships+xml"/>
  <Override PartName="/word/_rels/header8.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_rels/header10.xml.rels" ContentType="application/vnd.openxmlformats-package.relationships+xml"/>
  <Override PartName="/word/_rels/header22.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r>
          </w:p>
        </w:tc>
      </w:tr>
      <w:tr>
        <w:trPr/>
        <w:tc>
          <w:tcPr>
            <w:tcW w:w="9000" w:type="dxa"/>
            <w:tcBorders/>
          </w:tcPr>
          <w:p>
            <w:pPr>
              <w:pStyle w:val="RuleBody"/>
              <w:rPr/>
            </w:pPr>
            <w:r>
              <w:rPr/>
              <w:t>This Rule describes the general terms and conditions that apply whenever PG&amp;E transports Customer-owned gas over its system.  Customers who wish to transport gas must sign the applicable Agreement.</w:t>
            </w:r>
          </w:p>
          <w:p>
            <w:pPr>
              <w:pStyle w:val="Level1"/>
              <w:rPr/>
            </w:pPr>
            <w:r>
              <w:rPr/>
              <w:t>A.</w:t>
              <w:tab/>
              <w:t xml:space="preserve">GENERAL </w:t>
            </w:r>
          </w:p>
          <w:p>
            <w:pPr>
              <w:pStyle w:val="Level2"/>
              <w:rPr/>
            </w:pPr>
            <w:r>
              <w:rPr/>
              <w:t>1.</w:t>
              <w:tab/>
              <w:t xml:space="preserve">NATURE OF SERVICE </w:t>
            </w:r>
          </w:p>
          <w:p>
            <w:pPr>
              <w:pStyle w:val="Level2Sub"/>
              <w:rPr/>
            </w:pPr>
            <w:r>
              <w:rPr/>
              <w:t>Customers or their designated Agent or Core Transport Agent (CTA) will deliver or have delivered to PG&amp;E quantities of gas, and PG&amp;E will deliver equivalent quantities of gas adjusted for In-Kind Shrinkage Allowance, on a Btu-for-Btu basis, to the Customer’s Delivery Point.  The gas that PG&amp;E delivers to the Customer will not necessarily be the gas that the Customer/Agent/CTA delivered to PG&amp;E.</w:t>
            </w:r>
          </w:p>
          <w:p>
            <w:pPr>
              <w:pStyle w:val="Level2"/>
              <w:rPr/>
            </w:pPr>
            <w:r>
              <w:rPr/>
              <w:t>2.</w:t>
              <w:tab/>
              <w:t xml:space="preserve">GAS SPECIFICATIONS </w:t>
            </w:r>
          </w:p>
          <w:p>
            <w:pPr>
              <w:pStyle w:val="Level2Sub"/>
              <w:rPr/>
            </w:pPr>
            <w:r>
              <w:rPr/>
              <w:t>Unless otherwise agreed to by both parties, the gas delivered to PG&amp;E must meet the quality specifications detailed in Section C, below.  The minimum and maximum heating value and the pressure of the gas must be such that the gas can be integrated into PG&amp;E’s system at the Receipt Point(s).</w:t>
            </w:r>
          </w:p>
          <w:p>
            <w:pPr>
              <w:pStyle w:val="Level1"/>
              <w:rPr/>
            </w:pPr>
            <w:r>
              <w:rPr/>
              <w:t>B.</w:t>
              <w:tab/>
              <w:t xml:space="preserve">QUANTITIES OF GAS </w:t>
            </w:r>
          </w:p>
          <w:p>
            <w:pPr>
              <w:pStyle w:val="Level2"/>
              <w:rPr/>
            </w:pPr>
            <w:r>
              <w:rPr/>
              <w:t>1.</w:t>
              <w:tab/>
              <w:t>IN-KIND SHRINKAGE ALLOWANCE</w:t>
            </w:r>
          </w:p>
          <w:p>
            <w:pPr>
              <w:pStyle w:val="Level2Sub"/>
              <w:rPr/>
            </w:pPr>
            <w:r>
              <w:rPr/>
              <w:t>The in-kind shrinkage quantities represent the unaccounted-for gas and the utility fuel use attributable to the volume of natural gas received by PG&amp;E for transportation service.</w:t>
            </w:r>
          </w:p>
          <w:p>
            <w:pPr>
              <w:pStyle w:val="Table"/>
              <w:tabs>
                <w:tab w:val="clear" w:pos="432"/>
                <w:tab w:val="left" w:pos="5728" w:leader="none"/>
                <w:tab w:val="decimal" w:pos="6178" w:leader="none"/>
                <w:tab w:val="left" w:pos="6628" w:leader="none"/>
              </w:tabs>
              <w:ind w:start="1498" w:end="0"/>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p>
            <w:pPr>
              <w:pStyle w:val="EditNotations"/>
              <w:rPr/>
            </w:pPr>
            <w:r>
              <w:rPr/>
            </w:r>
          </w:p>
          <w:p>
            <w:pPr>
              <w:pStyle w:val="EditNotations"/>
              <w:rPr/>
            </w:pPr>
            <w:r>
              <w:rPr/>
            </w:r>
          </w:p>
        </w:tc>
      </w:tr>
    </w:tbl>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47">
                <wp:simplePos x="0" y="0"/>
                <wp:positionH relativeFrom="page">
                  <wp:posOffset>6400800</wp:posOffset>
                </wp:positionH>
                <wp:positionV relativeFrom="page">
                  <wp:posOffset>8869680</wp:posOffset>
                </wp:positionV>
                <wp:extent cx="914400" cy="228600"/>
                <wp:effectExtent l="0" t="0" r="0" b="0"/>
                <wp:wrapNone/>
                <wp:docPr id="5"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608"/>
        <w:gridCol w:w="504"/>
      </w:tblGrid>
      <w:tr>
        <w:trPr/>
        <w:tc>
          <w:tcPr>
            <w:tcW w:w="10008" w:type="dxa"/>
            <w:gridSpan w:val="3"/>
            <w:tcBorders/>
          </w:tcPr>
          <w:p>
            <w:pPr>
              <w:pStyle w:val="RuleTitle"/>
              <w:spacing w:lineRule="exact" w:line="240" w:before="0" w:after="240"/>
              <w:jc w:val="center"/>
              <w:rPr/>
            </w:pPr>
            <w:r>
              <w:rPr/>
              <w:t>RULE 21—TRANSPORTATION OF NATURAL GAS</w:t>
              <w:br/>
            </w:r>
            <w:r>
              <w:rPr>
                <w:u w:val="none"/>
              </w:rPr>
              <w:t>(Continued)</w:t>
            </w:r>
          </w:p>
        </w:tc>
      </w:tr>
      <w:tr>
        <w:trPr/>
        <w:tc>
          <w:tcPr>
            <w:tcW w:w="8896" w:type="dxa"/>
            <w:tcBorders/>
          </w:tcPr>
          <w:p>
            <w:pPr>
              <w:pStyle w:val="Level1"/>
              <w:rPr/>
            </w:pPr>
            <w:r>
              <w:rPr/>
              <w:t>B.</w:t>
              <w:tab/>
              <w:t xml:space="preserve">QUANTITIES OF GAS (Cont’d.) </w:t>
            </w:r>
          </w:p>
          <w:p>
            <w:pPr>
              <w:pStyle w:val="Level2"/>
              <w:rPr/>
            </w:pPr>
            <w:r>
              <w:rPr/>
              <w:t>1.</w:t>
              <w:tab/>
              <w:t xml:space="preserve">IN-KIND SHRINKAGE ALLOWANCE (Cont’d.) </w:t>
            </w:r>
          </w:p>
          <w:p>
            <w:pPr>
              <w:pStyle w:val="Level3"/>
              <w:rPr/>
            </w:pPr>
            <w:r>
              <w:rPr/>
              <w:t>a.</w:t>
              <w:tab/>
              <w:t>Backbone Shrinkage</w:t>
            </w:r>
          </w:p>
          <w:p>
            <w:pPr>
              <w:pStyle w:val="Level3Sub"/>
              <w:rPr/>
            </w:pPr>
            <w:r>
              <w:rPr/>
              <w:t xml:space="preserve">Customer/Agent/CTAs transporting gas over PG&amp;E’s Backbone Transmission System shall deliver each day at the Receipt Point to PG&amp;E an additional in-kind quantity of natural gas supply equal to a percent of total volume of natural gas to be delivered at the Receipt Point.  Thus, the quantity to be nominated at the Receipt Point equals the quantity desired at the Delivery Point divided by (1 - </w:t>
            </w:r>
            <w:r>
              <w:rPr>
                <w:i/>
              </w:rPr>
              <w:t>x</w:t>
            </w:r>
            <w:r>
              <w:rPr/>
              <w:t xml:space="preserve">) where </w:t>
            </w:r>
            <w:r>
              <w:rPr>
                <w:i/>
              </w:rPr>
              <w:t>x</w:t>
            </w:r>
            <w:r>
              <w:rPr/>
              <w:t xml:space="preserve"> is the decimal equivalent of the Backbone Transmission System In-Kind Shrinkage Allowance percentage, based on the transmission path utilized as follows:</w:t>
            </w:r>
          </w:p>
          <w:p>
            <w:pPr>
              <w:pStyle w:val="Table"/>
              <w:tabs>
                <w:tab w:val="clear" w:pos="432"/>
                <w:tab w:val="left" w:pos="5728" w:leader="none"/>
                <w:tab w:val="decimal" w:pos="6178" w:leader="none"/>
              </w:tabs>
              <w:ind w:start="1498" w:end="0"/>
              <w:rPr/>
            </w:pPr>
            <w:r>
              <w:rPr/>
              <w:tab/>
              <w:t>In-Kind Shrinkage</w:t>
            </w:r>
          </w:p>
          <w:p>
            <w:pPr>
              <w:pStyle w:val="Table"/>
              <w:tabs>
                <w:tab w:val="clear" w:pos="432"/>
                <w:tab w:val="left" w:pos="5728" w:leader="none"/>
                <w:tab w:val="decimal" w:pos="6178" w:leader="none"/>
              </w:tabs>
              <w:ind w:start="1498" w:end="0"/>
              <w:rPr/>
            </w:pPr>
            <w:r>
              <w:rPr>
                <w:rFonts w:eastAsia="Arial"/>
                <w:u w:val="single"/>
              </w:rPr>
              <w:t xml:space="preserve">                    </w:t>
            </w:r>
            <w:r>
              <w:rPr>
                <w:u w:val="single"/>
              </w:rPr>
              <w:t xml:space="preserve">Path                     </w:t>
            </w:r>
            <w:r>
              <w:rPr/>
              <w:tab/>
            </w:r>
            <w:r>
              <w:rPr>
                <w:u w:val="single"/>
              </w:rPr>
              <w:t xml:space="preserve">      Allowance     </w:t>
            </w:r>
          </w:p>
          <w:p>
            <w:pPr>
              <w:pStyle w:val="Table"/>
              <w:tabs>
                <w:tab w:val="clear" w:pos="432"/>
                <w:tab w:val="left" w:pos="5728" w:leader="none"/>
                <w:tab w:val="decimal" w:pos="6178" w:leader="none"/>
              </w:tabs>
              <w:ind w:start="1498" w:end="0"/>
              <w:rPr>
                <w:u w:val="single"/>
              </w:rPr>
            </w:pPr>
            <w:r>
              <w:rPr>
                <w:u w:val="single"/>
              </w:rPr>
            </w:r>
          </w:p>
          <w:p>
            <w:pPr>
              <w:pStyle w:val="Table"/>
              <w:tabs>
                <w:tab w:val="clear" w:pos="432"/>
                <w:tab w:val="left" w:pos="5728" w:leader="none"/>
                <w:tab w:val="decimal" w:pos="6178" w:leader="none"/>
                <w:tab w:val="left" w:pos="6628" w:leader="none"/>
              </w:tabs>
              <w:ind w:start="1498" w:end="0"/>
              <w:rPr/>
            </w:pPr>
            <w:r>
              <w:rPr/>
              <w:t>Redwood to Off-System path</w:t>
              <w:tab/>
              <w:tab/>
              <w:t xml:space="preserve">1.11 </w:t>
              <w:tab/>
              <w:t>percent</w:t>
            </w:r>
          </w:p>
          <w:p>
            <w:pPr>
              <w:pStyle w:val="Table"/>
              <w:tabs>
                <w:tab w:val="clear" w:pos="432"/>
                <w:tab w:val="left" w:pos="5728" w:leader="none"/>
                <w:tab w:val="decimal" w:pos="6178" w:leader="none"/>
                <w:tab w:val="left" w:pos="6628" w:leader="none"/>
              </w:tabs>
              <w:ind w:start="1498" w:end="0"/>
              <w:rPr/>
            </w:pPr>
            <w:r>
              <w:rPr/>
              <w:t>Mission to On-System path</w:t>
              <w:tab/>
              <w:tab/>
              <w:t xml:space="preserve">0 </w:t>
              <w:tab/>
              <w:t>percent</w:t>
            </w:r>
          </w:p>
          <w:p>
            <w:pPr>
              <w:pStyle w:val="Table"/>
              <w:tabs>
                <w:tab w:val="clear" w:pos="432"/>
                <w:tab w:val="left" w:pos="5728" w:leader="none"/>
                <w:tab w:val="decimal" w:pos="6178" w:leader="none"/>
                <w:tab w:val="left" w:pos="6628" w:leader="none"/>
              </w:tabs>
              <w:ind w:start="1498" w:end="0"/>
              <w:rPr/>
            </w:pPr>
            <w:r>
              <w:rPr/>
              <w:t>Mission to Off-System path</w:t>
              <w:tab/>
              <w:tab/>
              <w:t xml:space="preserve">0 </w:t>
              <w:tab/>
              <w:t>percent</w:t>
            </w:r>
          </w:p>
          <w:p>
            <w:pPr>
              <w:pStyle w:val="Table"/>
              <w:tabs>
                <w:tab w:val="clear" w:pos="432"/>
                <w:tab w:val="left" w:pos="5728" w:leader="none"/>
                <w:tab w:val="decimal" w:pos="6178" w:leader="none"/>
                <w:tab w:val="left" w:pos="6628" w:leader="none"/>
              </w:tabs>
              <w:ind w:start="1498" w:end="0"/>
              <w:rPr/>
            </w:pPr>
            <w:r>
              <w:rPr/>
              <w:t>All other transmission paths</w:t>
              <w:tab/>
              <w:tab/>
              <w:t xml:space="preserve">1.73 </w:t>
              <w:tab/>
              <w:t>percent</w:t>
            </w:r>
          </w:p>
          <w:p>
            <w:pPr>
              <w:pStyle w:val="Table"/>
              <w:tabs>
                <w:tab w:val="clear" w:pos="432"/>
                <w:tab w:val="left" w:pos="5728" w:leader="none"/>
                <w:tab w:val="decimal" w:pos="6178" w:leader="none"/>
                <w:tab w:val="left" w:pos="6628" w:leader="none"/>
              </w:tabs>
              <w:ind w:start="1498" w:end="0"/>
              <w:rPr/>
            </w:pPr>
            <w:r>
              <w:rPr/>
            </w:r>
          </w:p>
          <w:p>
            <w:pPr>
              <w:pStyle w:val="Level3Sub"/>
              <w:spacing w:before="0" w:after="240"/>
              <w:ind w:hanging="0" w:start="1296" w:end="0"/>
              <w:rPr/>
            </w:pPr>
            <w:r>
              <w:rPr/>
              <w:t>Provided, however, that PG&amp;E and Customer/Agent/CTA shall not be prohibited under this Rule, where shrinkage requirements support a different shrinkage allowance, from mutually agreeing to a different shrinkage allowance for transportation over PG&amp;E’s Backbone Transmission System.</w:t>
            </w:r>
          </w:p>
        </w:tc>
        <w:tc>
          <w:tcPr>
            <w:tcW w:w="608" w:type="dxa"/>
            <w:tcBorders/>
          </w:tcPr>
          <w:p>
            <w:pPr>
              <w:pStyle w:val="EditNotations"/>
              <w:snapToGrid w:val="false"/>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r>
          </w:p>
          <w:p>
            <w:pPr>
              <w:pStyle w:val="EditNotations"/>
              <w:ind w:start="-108" w:end="0"/>
              <w:rPr/>
            </w:pPr>
            <w:r>
              <w:rPr/>
              <w:t>(N)</w:t>
            </w:r>
          </w:p>
          <w:p>
            <w:pPr>
              <w:pStyle w:val="EditNotations"/>
              <w:ind w:start="-108" w:end="0"/>
              <w:rPr/>
            </w:pPr>
            <w:r>
              <w:rPr/>
              <w:t>|</w:t>
            </w:r>
          </w:p>
          <w:p>
            <w:pPr>
              <w:pStyle w:val="EditNotations"/>
              <w:ind w:start="-108" w:end="0"/>
              <w:rPr/>
            </w:pPr>
            <w:r>
              <w:rPr/>
              <w:t>|</w:t>
            </w:r>
          </w:p>
          <w:p>
            <w:pPr>
              <w:pStyle w:val="EditNotations"/>
              <w:ind w:start="-108" w:end="0"/>
              <w:rPr/>
            </w:pPr>
            <w:r>
              <w:rPr/>
              <w:t>|</w:t>
            </w:r>
          </w:p>
          <w:p>
            <w:pPr>
              <w:pStyle w:val="EditNotations"/>
              <w:ind w:start="-108" w:end="0"/>
              <w:rPr/>
            </w:pPr>
            <w:r>
              <w:rPr/>
              <w:t>(N)</w:t>
            </w:r>
          </w:p>
        </w:tc>
        <w:tc>
          <w:tcPr>
            <w:tcW w:w="504"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tc>
      </w:tr>
    </w:tbl>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48">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B.</w:t>
              <w:tab/>
              <w:t xml:space="preserve">QUANTITIES OF GAS </w:t>
            </w:r>
            <w:r>
              <w:rPr>
                <w:caps/>
              </w:rPr>
              <w:t>(</w:t>
            </w:r>
            <w:r>
              <w:rPr/>
              <w:t>Cont’d.</w:t>
            </w:r>
            <w:r>
              <w:rPr>
                <w:caps/>
              </w:rPr>
              <w:t>)</w:t>
            </w:r>
          </w:p>
          <w:p>
            <w:pPr>
              <w:pStyle w:val="Level2"/>
              <w:rPr/>
            </w:pPr>
            <w:r>
              <w:rPr/>
              <w:t>1.</w:t>
              <w:tab/>
              <w:t xml:space="preserve">IN-KIND SHRINKAGE ALLOWANCE </w:t>
            </w:r>
            <w:r>
              <w:rPr>
                <w:caps/>
              </w:rPr>
              <w:t>(</w:t>
            </w:r>
            <w:r>
              <w:rPr/>
              <w:t>Cont’d.</w:t>
            </w:r>
            <w:r>
              <w:rPr>
                <w:caps/>
              </w:rPr>
              <w:t>)</w:t>
            </w:r>
          </w:p>
          <w:p>
            <w:pPr>
              <w:pStyle w:val="Level3"/>
              <w:rPr/>
            </w:pPr>
            <w:r>
              <w:rPr/>
              <w:t>b.</w:t>
              <w:tab/>
              <w:t>Distribution Shrinkage</w:t>
            </w:r>
          </w:p>
          <w:p>
            <w:pPr>
              <w:pStyle w:val="Level3Sub"/>
              <w:rPr/>
            </w:pPr>
            <w:r>
              <w:rPr/>
              <w:t xml:space="preserve">For transportation on PG&amp;E’s Distribution System, an additional In-Kind Shrinkage Allowance shall apply, which is separate from backbone shrinkage.  The Noncore End-Use Customer/Agent/CTA shall deliver each day to PG&amp;E an additional in-kind quantity of natural gas supply equal to a percent of the total volume of natural gas flowing through the End-Use Customer’s meter.  Thus, the quantity to be nominated at the Citygate equals the quantity to be flowed through the meter multiplied by (1 + </w:t>
            </w:r>
            <w:r>
              <w:rPr>
                <w:i/>
              </w:rPr>
              <w:t>y</w:t>
            </w:r>
            <w:r>
              <w:rPr/>
              <w:t xml:space="preserve">) where </w:t>
            </w:r>
            <w:r>
              <w:rPr>
                <w:i/>
              </w:rPr>
              <w:t>y</w:t>
            </w:r>
            <w:r>
              <w:rPr/>
              <w:t xml:space="preserve"> is the decimal equivalent of the Distribution System In-Kind Shrinkage Allowance percentage, as follows:</w:t>
            </w:r>
          </w:p>
          <w:p>
            <w:pPr>
              <w:pStyle w:val="Table"/>
              <w:tabs>
                <w:tab w:val="clear" w:pos="432"/>
                <w:tab w:val="left" w:pos="4288" w:leader="none"/>
                <w:tab w:val="decimal" w:pos="4738" w:leader="none"/>
              </w:tabs>
              <w:ind w:start="1224" w:end="0"/>
              <w:rPr/>
            </w:pPr>
            <w:r>
              <w:rPr/>
              <w:tab/>
            </w:r>
            <w:r>
              <w:rPr>
                <w:u w:val="single"/>
              </w:rPr>
              <w:t>In-Kind Shrinkage Allowance</w:t>
            </w:r>
          </w:p>
          <w:p>
            <w:pPr>
              <w:pStyle w:val="Table"/>
              <w:tabs>
                <w:tab w:val="clear" w:pos="432"/>
                <w:tab w:val="left" w:pos="-1922" w:leader="none"/>
                <w:tab w:val="left" w:pos="5188" w:leader="none"/>
              </w:tabs>
              <w:ind w:start="1318" w:end="0"/>
              <w:rPr>
                <w:u w:val="single"/>
              </w:rPr>
            </w:pPr>
            <w:r>
              <w:rPr>
                <w:u w:val="single"/>
              </w:rPr>
            </w:r>
          </w:p>
          <w:p>
            <w:pPr>
              <w:pStyle w:val="Table"/>
              <w:tabs>
                <w:tab w:val="clear" w:pos="432"/>
                <w:tab w:val="left" w:pos="-1922" w:leader="none"/>
                <w:tab w:val="left" w:pos="5188" w:leader="none"/>
              </w:tabs>
              <w:ind w:start="1318" w:end="0"/>
              <w:rPr/>
            </w:pPr>
            <w:r>
              <w:rPr/>
              <w:t>Core End-Use Customer</w:t>
              <w:tab/>
              <w:t>4.02 percent</w:t>
            </w:r>
          </w:p>
          <w:p>
            <w:pPr>
              <w:pStyle w:val="Table"/>
              <w:tabs>
                <w:tab w:val="clear" w:pos="432"/>
                <w:tab w:val="left" w:pos="-1922" w:leader="none"/>
                <w:tab w:val="left" w:pos="5188" w:leader="none"/>
              </w:tabs>
              <w:ind w:start="1318" w:end="0"/>
              <w:rPr/>
            </w:pPr>
            <w:r>
              <w:rPr/>
            </w:r>
          </w:p>
          <w:p>
            <w:pPr>
              <w:pStyle w:val="Table"/>
              <w:tabs>
                <w:tab w:val="clear" w:pos="432"/>
                <w:tab w:val="left" w:pos="-1922" w:leader="none"/>
                <w:tab w:val="left" w:pos="5188" w:leader="none"/>
              </w:tabs>
              <w:ind w:start="1318" w:end="0"/>
              <w:rPr/>
            </w:pPr>
            <w:r>
              <w:rPr/>
              <w:t>Noncore Distribution Level</w:t>
              <w:tab/>
            </w:r>
          </w:p>
          <w:p>
            <w:pPr>
              <w:pStyle w:val="Table"/>
              <w:tabs>
                <w:tab w:val="clear" w:pos="432"/>
                <w:tab w:val="left" w:pos="1678" w:leader="none"/>
                <w:tab w:val="left" w:pos="5188" w:leader="none"/>
              </w:tabs>
              <w:spacing w:before="0" w:after="240"/>
              <w:ind w:start="1318" w:end="0"/>
              <w:rPr/>
            </w:pPr>
            <w:r>
              <w:rPr/>
              <w:t>End-Use Customer</w:t>
              <w:tab/>
              <w:t>0.22 percent</w:t>
            </w:r>
          </w:p>
          <w:p>
            <w:pPr>
              <w:pStyle w:val="Table"/>
              <w:tabs>
                <w:tab w:val="clear" w:pos="432"/>
                <w:tab w:val="left" w:pos="-1922" w:leader="none"/>
                <w:tab w:val="left" w:pos="5188" w:leader="none"/>
              </w:tabs>
              <w:ind w:start="1318" w:end="0"/>
              <w:rPr/>
            </w:pPr>
            <w:r>
              <w:rPr/>
              <w:t>Noncore Transmission Level</w:t>
              <w:tab/>
            </w:r>
          </w:p>
          <w:p>
            <w:pPr>
              <w:pStyle w:val="Table"/>
              <w:tabs>
                <w:tab w:val="clear" w:pos="432"/>
                <w:tab w:val="left" w:pos="1678" w:leader="none"/>
                <w:tab w:val="left" w:pos="5188" w:leader="none"/>
                <w:tab w:val="left" w:pos="5728" w:leader="none"/>
              </w:tabs>
              <w:spacing w:before="0" w:after="240"/>
              <w:ind w:start="1318" w:end="0"/>
              <w:rPr/>
            </w:pPr>
            <w:r>
              <w:rPr/>
              <w:t>End-Use Customer*</w:t>
              <w:tab/>
              <w:tab/>
              <w:t>–</w:t>
            </w:r>
          </w:p>
          <w:p>
            <w:pPr>
              <w:pStyle w:val="Level3Sub"/>
              <w:rPr/>
            </w:pPr>
            <w:r>
              <w:rPr/>
              <w:t>As an example, for a Core End-Use Customer being served via the Redwood Path, the amount to be nominated at Malin is calculated as:</w:t>
            </w:r>
          </w:p>
          <w:p>
            <w:pPr>
              <w:pStyle w:val="Table"/>
              <w:tabs>
                <w:tab w:val="clear" w:pos="432"/>
                <w:tab w:val="left" w:pos="-1922" w:leader="none"/>
                <w:tab w:val="left" w:pos="2758" w:leader="none"/>
                <w:tab w:val="left" w:pos="3298" w:leader="none"/>
                <w:tab w:val="left" w:pos="4828" w:leader="none"/>
                <w:tab w:val="left" w:pos="5368" w:leader="none"/>
                <w:tab w:val="left" w:pos="6538" w:leader="none"/>
                <w:tab w:val="left" w:pos="6898" w:leader="none"/>
              </w:tabs>
              <w:ind w:start="1318" w:end="0"/>
              <w:rPr/>
            </w:pPr>
            <w:r>
              <w:rPr/>
              <w:t>Receipt Point</w:t>
              <w:tab/>
              <w:tab/>
              <w:t>Est. Metered</w:t>
            </w:r>
          </w:p>
          <w:p>
            <w:pPr>
              <w:pStyle w:val="Table"/>
              <w:tabs>
                <w:tab w:val="clear" w:pos="432"/>
                <w:tab w:val="left" w:pos="-1922" w:leader="none"/>
                <w:tab w:val="left" w:pos="2758" w:leader="none"/>
                <w:tab w:val="left" w:pos="3298" w:leader="none"/>
                <w:tab w:val="left" w:pos="4738" w:leader="none"/>
                <w:tab w:val="left" w:pos="5188" w:leader="none"/>
                <w:tab w:val="left" w:pos="6538" w:leader="none"/>
                <w:tab w:val="left" w:pos="6898" w:leader="none"/>
              </w:tabs>
              <w:ind w:start="1318" w:end="0"/>
              <w:rPr/>
            </w:pPr>
            <w:r>
              <w:rPr/>
              <w:t>Quantity</w:t>
              <w:tab/>
              <w:t>=</w:t>
              <w:tab/>
              <w:t>Usage</w:t>
              <w:tab/>
              <w:t>x</w:t>
              <w:tab/>
              <w:t>(1 + y)</w:t>
              <w:tab/>
              <w:t>/</w:t>
              <w:tab/>
              <w:t>(1 - x)</w:t>
            </w:r>
          </w:p>
          <w:p>
            <w:pPr>
              <w:pStyle w:val="Table"/>
              <w:tabs>
                <w:tab w:val="clear" w:pos="432"/>
                <w:tab w:val="left" w:pos="-1922" w:leader="none"/>
                <w:tab w:val="left" w:pos="2758" w:leader="none"/>
                <w:tab w:val="left" w:pos="3298" w:leader="none"/>
                <w:tab w:val="left" w:pos="4738" w:leader="none"/>
                <w:tab w:val="left" w:pos="5188" w:leader="none"/>
                <w:tab w:val="left" w:pos="6538" w:leader="none"/>
                <w:tab w:val="left" w:pos="6898" w:leader="none"/>
              </w:tabs>
              <w:ind w:start="1318" w:end="0"/>
              <w:rPr/>
            </w:pPr>
            <w:r>
              <w:rPr/>
            </w:r>
          </w:p>
          <w:p>
            <w:pPr>
              <w:pStyle w:val="Table"/>
              <w:tabs>
                <w:tab w:val="clear" w:pos="432"/>
                <w:tab w:val="left" w:pos="-1922" w:leader="none"/>
                <w:tab w:val="left" w:pos="2488" w:leader="none"/>
                <w:tab w:val="left" w:pos="2758" w:leader="none"/>
                <w:tab w:val="left" w:pos="3298" w:leader="none"/>
                <w:tab w:val="left" w:pos="4738" w:leader="none"/>
                <w:tab w:val="left" w:pos="5188" w:leader="none"/>
                <w:tab w:val="left" w:pos="6538" w:leader="none"/>
                <w:tab w:val="left" w:pos="6898" w:leader="none"/>
              </w:tabs>
              <w:ind w:start="1318" w:end="0"/>
              <w:rPr/>
            </w:pPr>
            <w:r>
              <w:rPr/>
              <w:t>Where:</w:t>
              <w:tab/>
              <w:t>x</w:t>
              <w:tab/>
              <w:t>=</w:t>
              <w:tab/>
              <w:t>decimal equivalent of the Backbone</w:t>
              <w:br/>
              <w:tab/>
              <w:tab/>
              <w:tab/>
              <w:t>Shrinkage percentage, and</w:t>
            </w:r>
          </w:p>
          <w:p>
            <w:pPr>
              <w:pStyle w:val="Table"/>
              <w:tabs>
                <w:tab w:val="clear" w:pos="432"/>
                <w:tab w:val="left" w:pos="-1922" w:leader="none"/>
                <w:tab w:val="left" w:pos="2398" w:leader="none"/>
                <w:tab w:val="left" w:pos="2758" w:leader="none"/>
                <w:tab w:val="left" w:pos="3298" w:leader="none"/>
                <w:tab w:val="left" w:pos="4738" w:leader="none"/>
                <w:tab w:val="left" w:pos="5188" w:leader="none"/>
                <w:tab w:val="left" w:pos="6538" w:leader="none"/>
                <w:tab w:val="left" w:pos="6898" w:leader="none"/>
              </w:tabs>
              <w:ind w:start="1318" w:end="0"/>
              <w:rPr/>
            </w:pPr>
            <w:r>
              <w:rPr/>
            </w:r>
          </w:p>
          <w:p>
            <w:pPr>
              <w:pStyle w:val="Table"/>
              <w:tabs>
                <w:tab w:val="clear" w:pos="432"/>
                <w:tab w:val="left" w:pos="-1922" w:leader="none"/>
                <w:tab w:val="left" w:pos="2488" w:leader="none"/>
                <w:tab w:val="left" w:pos="2758" w:leader="none"/>
                <w:tab w:val="left" w:pos="3298" w:leader="none"/>
                <w:tab w:val="left" w:pos="4738" w:leader="none"/>
                <w:tab w:val="left" w:pos="5188" w:leader="none"/>
                <w:tab w:val="left" w:pos="6538" w:leader="none"/>
                <w:tab w:val="left" w:pos="6898" w:leader="none"/>
              </w:tabs>
              <w:ind w:start="1318" w:end="0"/>
              <w:rPr/>
            </w:pPr>
            <w:r>
              <w:rPr/>
              <w:tab/>
              <w:t>y</w:t>
              <w:tab/>
              <w:t>=</w:t>
              <w:tab/>
              <w:t>decimal equivalent of the Distribution Shrinkage</w:t>
              <w:br/>
              <w:tab/>
              <w:tab/>
              <w:tab/>
              <w:t>percentage</w:t>
            </w:r>
          </w:p>
          <w:p>
            <w:pPr>
              <w:pStyle w:val="Table"/>
              <w:tabs>
                <w:tab w:val="clear" w:pos="432"/>
                <w:tab w:val="left" w:pos="-1922" w:leader="none"/>
                <w:tab w:val="left" w:pos="2758" w:leader="none"/>
                <w:tab w:val="left" w:pos="3298" w:leader="none"/>
                <w:tab w:val="left" w:pos="4738" w:leader="none"/>
                <w:tab w:val="left" w:pos="5188" w:leader="none"/>
                <w:tab w:val="left" w:pos="6538" w:leader="none"/>
                <w:tab w:val="left" w:pos="6898" w:leader="none"/>
              </w:tabs>
              <w:ind w:start="1318" w:end="0"/>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(T)</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(D)</w:t>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pStyle w:val="Normal"/>
        <w:rPr/>
      </w:pPr>
      <w:r>
        <w:rPr/>
      </w:r>
    </w:p>
    <w:p>
      <w:pPr>
        <w:pStyle w:val="Normal"/>
        <w:rPr/>
      </w:pPr>
      <w:r>
        <w:rPr/>
      </w:r>
    </w:p>
    <w:p>
      <w:pPr>
        <w:pStyle w:val="Normal"/>
        <w:rPr/>
      </w:pPr>
      <w:r>
        <w:rPr/>
      </w:r>
    </w:p>
    <w:tbl>
      <w:tblPr>
        <w:tblW w:w="9976" w:type="dxa"/>
        <w:jc w:val="center"/>
        <w:tblInd w:w="0" w:type="dxa"/>
        <w:tblLayout w:type="fixed"/>
        <w:tblCellMar>
          <w:top w:w="0" w:type="dxa"/>
          <w:start w:w="108" w:type="dxa"/>
          <w:bottom w:w="0" w:type="dxa"/>
          <w:end w:w="108" w:type="dxa"/>
        </w:tblCellMar>
      </w:tblPr>
      <w:tblGrid>
        <w:gridCol w:w="9000"/>
        <w:gridCol w:w="976"/>
      </w:tblGrid>
      <w:tr>
        <w:trPr/>
        <w:tc>
          <w:tcPr>
            <w:tcW w:w="9000" w:type="dxa"/>
            <w:tcBorders/>
          </w:tcPr>
          <w:p>
            <w:pPr>
              <w:pStyle w:val="FootnoteText"/>
              <w:spacing w:lineRule="exact" w:line="200" w:before="0" w:after="200"/>
              <w:rPr/>
            </w:pPr>
            <w:r>
              <w:rPr/>
              <w:t>_______________</w:t>
            </w:r>
          </w:p>
          <w:p>
            <w:pPr>
              <w:pStyle w:val="FootnoteText"/>
              <w:spacing w:lineRule="exact" w:line="200" w:before="0" w:after="200"/>
              <w:rPr/>
            </w:pPr>
            <w:r>
              <w:rPr/>
              <w:t>*</w:t>
              <w:tab/>
            </w:r>
            <w:r>
              <w:rPr>
                <w:rFonts w:cs="Helv;Arial" w:ascii="Helv;Arial" w:hAnsi="Helv;Arial"/>
              </w:rPr>
              <w:t>Noncore Transmission Level End-Use Customers or Agents require no Distribution System In-Kind Shrinkage Allowance.</w:t>
            </w:r>
          </w:p>
        </w:tc>
        <w:tc>
          <w:tcPr>
            <w:tcW w:w="976" w:type="dxa"/>
            <w:tcBorders/>
          </w:tcPr>
          <w:p>
            <w:pPr>
              <w:pStyle w:val="EditNotation"/>
              <w:snapToGrid w:val="false"/>
              <w:rPr>
                <w:sz w:val="22"/>
              </w:rPr>
            </w:pPr>
            <w:r>
              <w:rPr>
                <w:sz w:val="22"/>
              </w:rPr>
            </w:r>
          </w:p>
          <w:p>
            <w:pPr>
              <w:pStyle w:val="EditNotation"/>
              <w:rPr>
                <w:sz w:val="22"/>
              </w:rPr>
            </w:pPr>
            <w:r>
              <w:rPr>
                <w:sz w:val="22"/>
              </w:rPr>
            </w:r>
          </w:p>
          <w:p>
            <w:pPr>
              <w:pStyle w:val="EditNotation"/>
              <w:rPr>
                <w:sz w:val="22"/>
              </w:rPr>
            </w:pPr>
            <w:r>
              <w:rPr>
                <w:sz w:val="22"/>
              </w:rPr>
              <w:t>(N)</w:t>
            </w:r>
          </w:p>
          <w:p>
            <w:pPr>
              <w:pStyle w:val="EditNotation"/>
              <w:rPr>
                <w:sz w:val="22"/>
              </w:rPr>
            </w:pPr>
            <w:r>
              <w:rPr>
                <w:sz w:val="22"/>
              </w:rPr>
              <w:t>(N)</w:t>
            </w:r>
          </w:p>
        </w:tc>
      </w:tr>
    </w:tbl>
    <w:p>
      <w:pPr>
        <w:sectPr>
          <w:headerReference w:type="default" r:id="rId8"/>
          <w:headerReference w:type="first" r:id="rId9"/>
          <w:footerReference w:type="default" r:id="rId10"/>
          <w:footerReference w:type="first" r:id="rId11"/>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49">
                <wp:simplePos x="0" y="0"/>
                <wp:positionH relativeFrom="page">
                  <wp:posOffset>6400800</wp:posOffset>
                </wp:positionH>
                <wp:positionV relativeFrom="page">
                  <wp:posOffset>8869680</wp:posOffset>
                </wp:positionV>
                <wp:extent cx="914400" cy="228600"/>
                <wp:effectExtent l="0" t="0" r="0" b="0"/>
                <wp:wrapNone/>
                <wp:docPr id="15"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B.</w:t>
              <w:tab/>
              <w:t xml:space="preserve">QUANTITIES OF GAS </w:t>
            </w:r>
            <w:r>
              <w:rPr>
                <w:caps/>
              </w:rPr>
              <w:t>(</w:t>
            </w:r>
            <w:r>
              <w:rPr/>
              <w:t>Cont’d.</w:t>
            </w:r>
            <w:r>
              <w:rPr>
                <w:caps/>
              </w:rPr>
              <w:t>)</w:t>
            </w:r>
          </w:p>
          <w:p>
            <w:pPr>
              <w:pStyle w:val="Level2"/>
              <w:rPr/>
            </w:pPr>
            <w:r>
              <w:rPr/>
              <w:t>2.</w:t>
              <w:tab/>
              <w:t>TRANSPORTATION QUANTITIES</w:t>
            </w:r>
          </w:p>
          <w:p>
            <w:pPr>
              <w:pStyle w:val="Level2Sub"/>
              <w:rPr/>
            </w:pPr>
            <w:r>
              <w:rPr/>
              <w:t>PG&amp;E shall not be required to accept gas at any Receipt Point when the daily flow rate at that Receipt Point is less than 50 decatherms per day.</w:t>
            </w:r>
          </w:p>
          <w:p>
            <w:pPr>
              <w:pStyle w:val="Level2Sub"/>
              <w:rPr/>
            </w:pPr>
            <w:r>
              <w:rPr/>
              <w:t>PG&amp;E shall not be obligated to agree to a Maximum Daily Quantity (MDQ), as specified in an applicable Agreement, for any Customer or its affiliates, in the aggregate, that exceeds the amount of available capacity to provide service to the Customer or affiliates, as determined by PG&amp;E.</w:t>
            </w:r>
          </w:p>
          <w:p>
            <w:pPr>
              <w:pStyle w:val="Level2"/>
              <w:rPr/>
            </w:pPr>
            <w:r>
              <w:rPr/>
              <w:t>3.</w:t>
              <w:tab/>
            </w:r>
            <w:r>
              <w:rPr>
                <w:caps/>
              </w:rPr>
              <w:t>nominations</w:t>
            </w:r>
          </w:p>
          <w:p>
            <w:pPr>
              <w:pStyle w:val="Level3"/>
              <w:rPr/>
            </w:pPr>
            <w:r>
              <w:rPr/>
              <w:t>a.</w:t>
              <w:tab/>
              <w:t>General</w:t>
            </w:r>
          </w:p>
          <w:p>
            <w:pPr>
              <w:pStyle w:val="Level3Sub"/>
              <w:rPr/>
            </w:pPr>
            <w:r>
              <w:rPr/>
              <w:t>The Customer/Agent/CTA shall be responsible for submitting gas service nominations to PG&amp;E no later than the deadlines specified below.  Nominations shall be made by electronic means acceptable to PG&amp;E or by other means mutually agreeable to PG&amp;E and the Customer/Agent/CTA.  PG&amp;E may reject any nomination not conforming to the requirements in these rules or in applicable service agreements.</w:t>
            </w:r>
          </w:p>
          <w:p>
            <w:pPr>
              <w:pStyle w:val="Level3Sub"/>
              <w:spacing w:before="0" w:after="240"/>
              <w:ind w:hanging="0" w:start="1296" w:end="0"/>
              <w:rPr/>
            </w:pPr>
            <w:r>
              <w:rPr/>
              <w:t>Each nomination shall include all information required by PG&amp;E’s normal nomination procedures.  Nominations received by PG&amp;E will be subject to the conditions specified in the Customer/Agent/CTA’s service agreements with PG&amp;E.  Confirmation of nominations will be subject to operational constraints in accordance with Rule 14.  The Customer/Agent/CTA shall be responsible for making all corresponding upstream and/or downstream nomination arrangements with the interconnecting pipeline(s) and/or operator(s).</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0">
                <wp:simplePos x="0" y="0"/>
                <wp:positionH relativeFrom="page">
                  <wp:posOffset>6400800</wp:posOffset>
                </wp:positionH>
                <wp:positionV relativeFrom="page">
                  <wp:posOffset>8869680</wp:posOffset>
                </wp:positionV>
                <wp:extent cx="914400" cy="228600"/>
                <wp:effectExtent l="0" t="0" r="0" b="0"/>
                <wp:wrapNone/>
                <wp:docPr id="20"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caps/>
              </w:rPr>
              <w:t>rule 21—transportation of natural gas</w:t>
              <w:br/>
            </w:r>
            <w:r>
              <w:rPr>
                <w:u w:val="none"/>
              </w:rPr>
              <w:t>(Continued)</w:t>
            </w:r>
          </w:p>
        </w:tc>
      </w:tr>
      <w:tr>
        <w:trPr/>
        <w:tc>
          <w:tcPr>
            <w:tcW w:w="9000" w:type="dxa"/>
            <w:tcBorders/>
          </w:tcPr>
          <w:p>
            <w:pPr>
              <w:pStyle w:val="RuleBody"/>
              <w:rPr/>
            </w:pPr>
            <w:r>
              <w:rPr/>
              <w:t>B.</w:t>
              <w:tab/>
              <w:t>QUANTITIES OF GAS (Cont’d.)</w:t>
            </w:r>
          </w:p>
          <w:p>
            <w:pPr>
              <w:pStyle w:val="Level2"/>
              <w:rPr/>
            </w:pPr>
            <w:r>
              <w:rPr/>
              <w:t>3.</w:t>
              <w:tab/>
            </w:r>
            <w:r>
              <w:rPr>
                <w:caps/>
              </w:rPr>
              <w:t>Nominations (</w:t>
            </w:r>
            <w:r>
              <w:rPr/>
              <w:t>Cont’d</w:t>
            </w:r>
            <w:r>
              <w:rPr>
                <w:caps/>
              </w:rPr>
              <w:t>.)</w:t>
            </w:r>
          </w:p>
          <w:p>
            <w:pPr>
              <w:pStyle w:val="Level3"/>
              <w:rPr/>
            </w:pPr>
            <w:r>
              <w:rPr/>
              <w:t>b.</w:t>
              <w:tab/>
              <w:t>Changes in Flow-day Quantities</w:t>
            </w:r>
          </w:p>
          <w:p>
            <w:pPr>
              <w:pStyle w:val="Level3Sub"/>
              <w:rPr/>
            </w:pPr>
            <w:r>
              <w:rPr/>
              <w:t>PG&amp;E will schedule nominations subject to receiving notification of confirmation from the upstream and/or downstream pipeline(s) and/or operator(s), and subject to the following two conditions.</w:t>
            </w:r>
          </w:p>
          <w:p>
            <w:pPr>
              <w:pStyle w:val="Level4"/>
              <w:rPr/>
            </w:pPr>
            <w:r>
              <w:rPr/>
              <w:t>1)</w:t>
              <w:tab/>
              <w:t>Decreases</w:t>
            </w:r>
          </w:p>
          <w:p>
            <w:pPr>
              <w:pStyle w:val="Level4Sub"/>
              <w:rPr/>
            </w:pPr>
            <w:r>
              <w:rPr/>
              <w:t xml:space="preserve">Decreases in Intra-day nominations shall be limited to no less than the Elapsed Prorated Quantity  that theoretically would have flowed up to the effective time of the intra-day nomination being confirmed, based on a cumulative uniform hourly quantity for each nomination period affected.  This condition applies at the individual nomination level.  </w:t>
            </w:r>
          </w:p>
          <w:p>
            <w:pPr>
              <w:pStyle w:val="Level4"/>
              <w:rPr/>
            </w:pPr>
            <w:r>
              <w:rPr/>
              <w:t>2)</w:t>
              <w:tab/>
              <w:t>Increases</w:t>
            </w:r>
          </w:p>
          <w:p>
            <w:pPr>
              <w:pStyle w:val="Level4Sub"/>
              <w:spacing w:before="0" w:after="240"/>
              <w:ind w:hanging="0" w:start="1728" w:end="0"/>
              <w:rPr/>
            </w:pPr>
            <w:r>
              <w:rPr/>
              <w:t xml:space="preserve">Increases in Intra-day nominations shall be limited to no more than the Remaining Prorated Quantity that theoretically could flow from the effective time of the intra-day nomination being confirmed, for the time remaining in the gas day based on a cumulative uniform hourly quantity for each nomination period affected.  This condition applies to the aggregate of all nominations at a receipt point.  </w:t>
            </w:r>
          </w:p>
        </w:tc>
        <w:tc>
          <w:tcPr>
            <w:tcW w:w="1008"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(N)</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(N)</w:t>
            </w:r>
          </w:p>
          <w:p>
            <w:pPr>
              <w:pStyle w:val="EditNotation"/>
              <w:spacing w:lineRule="exact" w:line="240"/>
              <w:rPr>
                <w:sz w:val="22"/>
              </w:rPr>
            </w:pPr>
            <w:r>
              <w:rPr>
                <w:sz w:val="22"/>
              </w:rPr>
              <w:t>(N)</w:t>
            </w:r>
          </w:p>
          <w:p>
            <w:pPr>
              <w:pStyle w:val="EditNotation"/>
              <w:spacing w:lineRule="exact" w:line="240"/>
              <w:rPr>
                <w:sz w:val="22"/>
              </w:rPr>
            </w:pPr>
            <w:r>
              <w:rPr>
                <w:sz w:val="22"/>
              </w:rPr>
            </w:r>
          </w:p>
        </w:tc>
      </w:tr>
    </w:tbl>
    <w:p>
      <w:pPr>
        <w:sectPr>
          <w:headerReference w:type="default" r:id="rId16"/>
          <w:headerReference w:type="first" r:id="rId17"/>
          <w:footerReference w:type="default" r:id="rId18"/>
          <w:footerReference w:type="first" r:id="rId19"/>
          <w:type w:val="nextPage"/>
          <w:pgSz w:w="12240" w:h="15840"/>
          <w:pgMar w:left="1656" w:right="547" w:gutter="0" w:header="720" w:top="1944" w:footer="576" w:bottom="1440"/>
          <w:pgNumType w:fmt="decimal"/>
          <w:formProt w:val="false"/>
          <w:textDirection w:val="lrTb"/>
          <w:docGrid w:type="default" w:linePitch="360" w:charSpace="0"/>
        </w:sectPr>
        <w:pStyle w:val="Normal"/>
        <w:rPr>
          <w:sz w:val="20"/>
          <w:lang w:val="en-CA"/>
        </w:rPr>
      </w:pPr>
      <w:r>
        <w:rPr>
          <w:sz w:val="20"/>
          <w:lang w:val="en-CA"/>
        </w:rPr>
      </w:r>
      <w:r>
        <mc:AlternateContent>
          <mc:Choice Requires="wps">
            <w:drawing>
              <wp:anchor behindDoc="0" distT="0" distB="0" distL="114935" distR="114935" simplePos="0" locked="0" layoutInCell="0" allowOverlap="1" relativeHeight="51">
                <wp:simplePos x="0" y="0"/>
                <wp:positionH relativeFrom="page">
                  <wp:posOffset>6400800</wp:posOffset>
                </wp:positionH>
                <wp:positionV relativeFrom="page">
                  <wp:posOffset>8879205</wp:posOffset>
                </wp:positionV>
                <wp:extent cx="914400" cy="228600"/>
                <wp:effectExtent l="0" t="0" r="0" b="0"/>
                <wp:wrapNone/>
                <wp:docPr id="25"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1112"/>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8896" w:type="dxa"/>
            <w:tcBorders/>
          </w:tcPr>
          <w:p>
            <w:pPr>
              <w:pStyle w:val="Level1"/>
              <w:rPr>
                <w:caps/>
              </w:rPr>
            </w:pPr>
            <w:r>
              <w:rPr/>
              <w:t>B.</w:t>
              <w:tab/>
              <w:t>QUANTITIES OF GAS (Cont’d.)</w:t>
            </w:r>
          </w:p>
          <w:p>
            <w:pPr>
              <w:pStyle w:val="Level2"/>
              <w:rPr/>
            </w:pPr>
            <w:r>
              <w:rPr/>
              <w:t>3.</w:t>
              <w:tab/>
            </w:r>
            <w:r>
              <w:rPr>
                <w:caps/>
              </w:rPr>
              <w:t>nominations (C</w:t>
            </w:r>
            <w:r>
              <w:rPr/>
              <w:t>ont’d.)</w:t>
            </w:r>
          </w:p>
          <w:p>
            <w:pPr>
              <w:pStyle w:val="Level3"/>
              <w:rPr/>
            </w:pPr>
            <w:r>
              <w:rPr/>
              <w:t>c.</w:t>
              <w:tab/>
              <w:t>Timing</w:t>
            </w:r>
          </w:p>
          <w:p>
            <w:pPr>
              <w:pStyle w:val="Level3Sub"/>
              <w:rPr/>
            </w:pPr>
            <w:r>
              <w:rPr/>
              <w:t>All times referred to in Section B.3 are in Pacific Clock Time.  The gas day will be from 7 a.m. to 7 a.m.</w:t>
            </w:r>
          </w:p>
          <w:p>
            <w:pPr>
              <w:pStyle w:val="Level3"/>
              <w:rPr/>
            </w:pPr>
            <w:r>
              <w:rPr/>
              <w:t>d.</w:t>
              <w:tab/>
              <w:t>Nomination Cycles</w:t>
            </w:r>
          </w:p>
          <w:p>
            <w:pPr>
              <w:pStyle w:val="Level3Sub"/>
              <w:rPr/>
            </w:pPr>
            <w:r>
              <w:rPr/>
              <w:t>PG&amp;E will accept and process four types of nominations for a given gas day:  Timely, Evening, Intraday 1, and Intraday 2:</w:t>
            </w:r>
          </w:p>
          <w:p>
            <w:pPr>
              <w:pStyle w:val="Level4"/>
              <w:rPr/>
            </w:pPr>
            <w:r>
              <w:rPr/>
              <w:t>1)</w:t>
              <w:tab/>
              <w:t>A “Timely Nomination” is a nomination received by PG&amp;E no later than 9:30 a.m. one day prior to the gas day for which the Customer/Agent/CTA requests service.</w:t>
            </w:r>
          </w:p>
          <w:p>
            <w:pPr>
              <w:pStyle w:val="Level4"/>
              <w:rPr/>
            </w:pPr>
            <w:r>
              <w:rPr/>
              <w:t>2)</w:t>
              <w:tab/>
              <w:t>An “Evening Nomination” is a nomination received after 9:30 a.m. and no later than 4:00 p.m. one day prior to the gas day for which the Customer/Agent/CTA requests service.</w:t>
            </w:r>
          </w:p>
          <w:p>
            <w:pPr>
              <w:pStyle w:val="Level4"/>
              <w:rPr/>
            </w:pPr>
            <w:r>
              <w:rPr/>
              <w:t>3)</w:t>
              <w:tab/>
              <w:t>An “Intraday 1 Nomination” is a nomination received after 4:00 p.m. one day prior to the gas day for which the Customer/Agent/CTA requests service and no later than 8:00 a.m. on the gas day for which service is requested.</w:t>
            </w:r>
          </w:p>
          <w:p>
            <w:pPr>
              <w:pStyle w:val="Level4"/>
              <w:rPr/>
            </w:pPr>
            <w:r>
              <w:rPr/>
              <w:t>4)</w:t>
              <w:tab/>
              <w:t>An “Intraday 2 Nomination” is a nomination received after 8:00 a.m. and no later than 3:00 p.m. on the gas day for which service is requested by the Customer/Agent/CTA.</w:t>
            </w:r>
          </w:p>
          <w:p>
            <w:pPr>
              <w:pStyle w:val="Level3"/>
              <w:spacing w:before="0" w:after="240"/>
              <w:ind w:hanging="432" w:start="1296" w:end="0"/>
              <w:rPr/>
            </w:pPr>
            <w:r>
              <w:rPr/>
            </w:r>
          </w:p>
        </w:tc>
        <w:tc>
          <w:tcPr>
            <w:tcW w:w="1112"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(N)</w:t>
            </w:r>
          </w:p>
          <w:p>
            <w:pPr>
              <w:pStyle w:val="EditNotations"/>
              <w:rPr/>
            </w:pPr>
            <w:r>
              <w:rPr/>
              <w:t>|</w:t>
            </w:r>
          </w:p>
          <w:p>
            <w:pPr>
              <w:pStyle w:val="EditNotations"/>
              <w:rPr/>
            </w:pPr>
            <w:r>
              <w:rPr/>
              <w:t>(N)</w:t>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tc>
      </w:tr>
    </w:tbl>
    <w:p>
      <w:pPr>
        <w:sectPr>
          <w:headerReference w:type="default" r:id="rId20"/>
          <w:headerReference w:type="first" r:id="rId21"/>
          <w:footerReference w:type="default" r:id="rId22"/>
          <w:footerReference w:type="first" r:id="rId23"/>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2">
                <wp:simplePos x="0" y="0"/>
                <wp:positionH relativeFrom="page">
                  <wp:posOffset>6400800</wp:posOffset>
                </wp:positionH>
                <wp:positionV relativeFrom="page">
                  <wp:posOffset>8869680</wp:posOffset>
                </wp:positionV>
                <wp:extent cx="914400" cy="228600"/>
                <wp:effectExtent l="0" t="0" r="0" b="0"/>
                <wp:wrapNone/>
                <wp:docPr id="30"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caps/>
              </w:rPr>
            </w:pPr>
            <w:r>
              <w:rPr/>
              <w:t>B.</w:t>
              <w:tab/>
              <w:t>QUANTITIES OF GAS (Cont’d.)</w:t>
            </w:r>
          </w:p>
          <w:p>
            <w:pPr>
              <w:pStyle w:val="Level2"/>
              <w:rPr/>
            </w:pPr>
            <w:r>
              <w:rPr/>
              <w:t>3.</w:t>
              <w:tab/>
            </w:r>
            <w:r>
              <w:rPr>
                <w:caps/>
              </w:rPr>
              <w:t>nominations (C</w:t>
            </w:r>
            <w:r>
              <w:rPr/>
              <w:t>ont’d.)</w:t>
            </w:r>
          </w:p>
          <w:p>
            <w:pPr>
              <w:pStyle w:val="Level3"/>
              <w:rPr/>
            </w:pPr>
            <w:r>
              <w:rPr/>
              <w:t>e.</w:t>
              <w:tab/>
              <w:t>Timely Nomination Cycle</w:t>
            </w:r>
          </w:p>
          <w:p>
            <w:pPr>
              <w:pStyle w:val="Level3Sub"/>
              <w:rPr/>
            </w:pPr>
            <w:r>
              <w:rPr/>
              <w:t>Timely nominations must be received by PG&amp;E no later than 9:30 a.m. one day prior to the gas day for which the Customer/Agent/CTA requests service.  Timely nominations will be effective at 7:00 a.m. the following morning.</w:t>
            </w:r>
          </w:p>
          <w:p>
            <w:pPr>
              <w:pStyle w:val="Level3Sub"/>
              <w:rPr/>
            </w:pPr>
            <w:r>
              <w:rPr/>
              <w:t xml:space="preserve">Nominations shall include defined begin and end dates.  A timely nomination does not carry over to the following cycle.  However, Timely Nominations may have a “roll-over” option; specifically, they may extend for multiple days, months, or years, provided the begin and end dates are within the terms of the Customer/Agent/CTA’s service agreement.  </w:t>
            </w:r>
          </w:p>
          <w:p>
            <w:pPr>
              <w:pStyle w:val="Level3Sub"/>
              <w:rPr/>
            </w:pPr>
            <w:r>
              <w:rPr/>
              <w:t>Timely nominations will be confirmed and scheduled by priority of service in accordance with Rule 14.</w:t>
            </w:r>
          </w:p>
          <w:p>
            <w:pPr>
              <w:pStyle w:val="Level3Sub"/>
              <w:rPr/>
            </w:pPr>
            <w:r>
              <w:rPr/>
              <w:t>PG&amp;E will provide to the Customer/Agent/CTA a confirmed nomination report indicating the nomination quantities which have been received and confirmed for transport on PG&amp;E’s system and which have been communicated to the applicable upstream and/or downstream pipeline(s) and/or operator(s).  Subject to PG&amp;E receiving notification from the applicable upstream and/or downstream pipeline(s) and/or operator(s), PG&amp;E will provide to the Customer/Agent/CTA a scheduled quantities report.  PG&amp;E will attempt, but cannot guarantee, delivery of these two reports by 1:30 p.m. and 2:30 p.m., respectively.</w:t>
            </w:r>
          </w:p>
          <w:p>
            <w:pPr>
              <w:pStyle w:val="Level3Sub"/>
              <w:rPr/>
            </w:pPr>
            <w:r>
              <w:rPr/>
              <w:t>Timely nomination summary</w:t>
            </w:r>
          </w:p>
          <w:p>
            <w:pPr>
              <w:pStyle w:val="Level3Sub"/>
              <w:tabs>
                <w:tab w:val="clear" w:pos="432"/>
                <w:tab w:val="left" w:pos="1588" w:leader="none"/>
                <w:tab w:val="left" w:pos="4378" w:leader="none"/>
              </w:tabs>
              <w:spacing w:before="0" w:after="120"/>
              <w:rPr/>
            </w:pPr>
            <w:r>
              <w:rPr/>
              <w:t>•</w:t>
            </w:r>
            <w:r>
              <w:rPr/>
              <w:tab/>
              <w:t>Nominations submitted:</w:t>
              <w:tab/>
              <w:t>No later than 9:30 a.m.</w:t>
            </w:r>
          </w:p>
          <w:p>
            <w:pPr>
              <w:pStyle w:val="Level3Sub"/>
              <w:tabs>
                <w:tab w:val="clear" w:pos="432"/>
                <w:tab w:val="left" w:pos="1588" w:leader="none"/>
                <w:tab w:val="left" w:pos="4378" w:leader="none"/>
              </w:tabs>
              <w:rPr/>
            </w:pPr>
            <w:r>
              <w:rPr/>
              <w:t>•</w:t>
            </w:r>
            <w:r>
              <w:rPr/>
              <w:tab/>
              <w:t>Flow will be effective:</w:t>
              <w:tab/>
              <w:t>7:00 a.m. the following morning</w:t>
            </w:r>
          </w:p>
          <w:p>
            <w:pPr>
              <w:pStyle w:val="Level3Sub"/>
              <w:spacing w:before="0" w:after="240"/>
              <w:ind w:hanging="0" w:start="1296" w:end="0"/>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(D)</w:t>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t>(D)</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(N)</w:t>
            </w:r>
          </w:p>
          <w:p>
            <w:pPr>
              <w:pStyle w:val="EditNotations"/>
              <w:rPr/>
            </w:pPr>
            <w:r>
              <w:rPr/>
              <w:t>(N)</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sectPr>
          <w:headerReference w:type="default" r:id="rId24"/>
          <w:headerReference w:type="first" r:id="rId25"/>
          <w:footerReference w:type="default" r:id="rId26"/>
          <w:footerReference w:type="first" r:id="rId27"/>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3">
                <wp:simplePos x="0" y="0"/>
                <wp:positionH relativeFrom="page">
                  <wp:posOffset>6400800</wp:posOffset>
                </wp:positionH>
                <wp:positionV relativeFrom="page">
                  <wp:posOffset>8869680</wp:posOffset>
                </wp:positionV>
                <wp:extent cx="914400" cy="228600"/>
                <wp:effectExtent l="0" t="0" r="0" b="0"/>
                <wp:wrapNone/>
                <wp:docPr id="35"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1112"/>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8896" w:type="dxa"/>
            <w:tcBorders/>
          </w:tcPr>
          <w:p>
            <w:pPr>
              <w:pStyle w:val="Level1"/>
              <w:rPr>
                <w:caps/>
              </w:rPr>
            </w:pPr>
            <w:r>
              <w:rPr/>
              <w:t>B.</w:t>
              <w:tab/>
              <w:t>QUANTITIES OF GAS (Cont’d.)</w:t>
            </w:r>
          </w:p>
          <w:p>
            <w:pPr>
              <w:pStyle w:val="Level2"/>
              <w:rPr/>
            </w:pPr>
            <w:r>
              <w:rPr/>
              <w:t>3.</w:t>
              <w:tab/>
            </w:r>
            <w:r>
              <w:rPr>
                <w:caps/>
              </w:rPr>
              <w:t>nominations (C</w:t>
            </w:r>
            <w:r>
              <w:rPr/>
              <w:t>ont’d.)</w:t>
            </w:r>
          </w:p>
          <w:p>
            <w:pPr>
              <w:pStyle w:val="Level3"/>
              <w:rPr/>
            </w:pPr>
            <w:r>
              <w:rPr/>
              <w:t>f.</w:t>
              <w:tab/>
              <w:t>Evening Nomination Cycle</w:t>
            </w:r>
          </w:p>
          <w:p>
            <w:pPr>
              <w:pStyle w:val="Level3Sub"/>
              <w:rPr/>
            </w:pPr>
            <w:r>
              <w:rPr/>
              <w:t xml:space="preserve">An Evening Nomination must be received by PG&amp;E no later 4:00 p.m. one day prior to the gas day for which the Customer/Agent/CTA requests service.  Evening Nominations will be effective at 7:00 a.m. the following morning.  Evening Nominations will be confirmed and scheduled after Timely Nominations are confirmed and scheduled. </w:t>
            </w:r>
          </w:p>
          <w:p>
            <w:pPr>
              <w:pStyle w:val="Level3Sub"/>
              <w:rPr/>
            </w:pPr>
            <w:r>
              <w:rPr/>
              <w:t>PG&amp;E will provide to the Customer/Agent/CTA a confirmed nomination report indicating the nomination quantities which have been received and confirmed for transport on PG&amp;E’s system and which have been communicated to the upstream and/or downstream pipeline(s) and/or operator(s).  Subject to PG&amp;E receiving notification from the applicable upstream and/or downstream pipeline(s) and/or operator(s), PG&amp;E will provide to the Customer/Agent/CTA a scheduled quantities report .  PG&amp;E will attempt, but cannot guarantee, delivery of these two reports by 7:00 p.m. and 8:00 p.m., respectively.</w:t>
            </w:r>
          </w:p>
          <w:p>
            <w:pPr>
              <w:pStyle w:val="Level3Sub"/>
              <w:rPr/>
            </w:pPr>
            <w:r>
              <w:rPr/>
              <w:t>Evening Nomination summary</w:t>
            </w:r>
          </w:p>
          <w:p>
            <w:pPr>
              <w:pStyle w:val="Level3Sub"/>
              <w:numPr>
                <w:ilvl w:val="0"/>
                <w:numId w:val="2"/>
              </w:numPr>
              <w:spacing w:before="0" w:after="60"/>
              <w:rPr/>
            </w:pPr>
            <w:r>
              <w:rPr/>
              <w:t>Nominations submitted:</w:t>
              <w:tab/>
              <w:t>No later than 4:00 p.m.</w:t>
            </w:r>
          </w:p>
          <w:p>
            <w:pPr>
              <w:pStyle w:val="Level3Sub"/>
              <w:numPr>
                <w:ilvl w:val="0"/>
                <w:numId w:val="2"/>
              </w:numPr>
              <w:rPr/>
            </w:pPr>
            <w:r>
              <w:rPr/>
              <w:t>Flow will be effective:</w:t>
              <w:tab/>
              <w:tab/>
              <w:t>7:00 a.m. the following morning</w:t>
            </w:r>
          </w:p>
          <w:p>
            <w:pPr>
              <w:pStyle w:val="Level3Sub"/>
              <w:rPr/>
            </w:pPr>
            <w:r>
              <w:rPr/>
              <w:t>Evening Nominations will be confirmed and scheduled by priority of service among all Evening Nominations PG&amp;E has received and in accordance with Rule 14.</w:t>
            </w:r>
          </w:p>
          <w:p>
            <w:pPr>
              <w:pStyle w:val="Level3Sub"/>
              <w:spacing w:before="0" w:after="240"/>
              <w:rPr/>
            </w:pPr>
            <w:r>
              <w:rPr/>
              <w:t>An Evening Nomination either may be the Customer/Agent/CTA’s first nomination for service for the following day or may modify a Timely Nomination for the following day.  An Evening Nomination may increase or decrease previously scheduled quantities subject to Section B.3.b. and scheduling non-performance in Section B.4.  An Evening Nomination does not carry over to the following cycle.</w:t>
            </w:r>
          </w:p>
        </w:tc>
        <w:tc>
          <w:tcPr>
            <w:tcW w:w="1112"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(T)</w:t>
            </w:r>
          </w:p>
          <w:p>
            <w:pPr>
              <w:pStyle w:val="EditNotations"/>
              <w:rPr/>
            </w:pPr>
            <w:r>
              <w:rPr/>
              <w:t>(D)</w:t>
            </w:r>
          </w:p>
          <w:p>
            <w:pPr>
              <w:pStyle w:val="EditNotations"/>
              <w:rPr/>
            </w:pPr>
            <w:r>
              <w:rPr/>
              <w:t>(T)</w:t>
            </w:r>
          </w:p>
          <w:p>
            <w:pPr>
              <w:pStyle w:val="EditNotations"/>
              <w:rPr/>
            </w:pPr>
            <w:r>
              <w:rPr/>
              <w:t>|</w:t>
            </w:r>
          </w:p>
          <w:p>
            <w:pPr>
              <w:pStyle w:val="EditNotations"/>
              <w:rPr/>
            </w:pPr>
            <w:r>
              <w:rPr/>
              <w:t>|</w:t>
            </w:r>
          </w:p>
          <w:p>
            <w:pPr>
              <w:pStyle w:val="EditNotations"/>
              <w:rPr/>
            </w:pPr>
            <w:r>
              <w:rPr/>
              <w:t>(T)</w:t>
            </w:r>
          </w:p>
          <w:p>
            <w:pPr>
              <w:pStyle w:val="EditNotations"/>
              <w:rPr/>
            </w:pPr>
            <w:r>
              <w:rPr/>
            </w:r>
          </w:p>
          <w:p>
            <w:pPr>
              <w:pStyle w:val="EditNotations"/>
              <w:rPr/>
            </w:pPr>
            <w:r>
              <w:rPr/>
              <w:t>(T)</w:t>
            </w:r>
          </w:p>
          <w:p>
            <w:pPr>
              <w:pStyle w:val="EditNotations"/>
              <w:rPr/>
            </w:pPr>
            <w:r>
              <w:rPr/>
              <w:t>(N)</w:t>
            </w:r>
          </w:p>
          <w:p>
            <w:pPr>
              <w:pStyle w:val="EditNotations"/>
              <w:rPr/>
            </w:pPr>
            <w:r>
              <w:rPr/>
              <w:t>|</w:t>
            </w:r>
          </w:p>
          <w:p>
            <w:pPr>
              <w:pStyle w:val="EditNotations"/>
              <w:rPr/>
            </w:pPr>
            <w:r>
              <w:rPr/>
              <w:t>(N)</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(T)</w:t>
            </w:r>
          </w:p>
          <w:p>
            <w:pPr>
              <w:pStyle w:val="EditNotations"/>
              <w:rPr/>
            </w:pPr>
            <w:r>
              <w:rPr/>
              <w:t>(N)</w:t>
            </w:r>
          </w:p>
          <w:p>
            <w:pPr>
              <w:pStyle w:val="EditNotations"/>
              <w:rPr/>
            </w:pPr>
            <w:r>
              <w:rPr/>
              <w:t>(N)</w:t>
            </w:r>
          </w:p>
          <w:p>
            <w:pPr>
              <w:pStyle w:val="EditNotations"/>
              <w:rPr/>
            </w:pPr>
            <w:r>
              <w:rPr/>
            </w:r>
          </w:p>
        </w:tc>
      </w:tr>
    </w:tbl>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4">
                <wp:simplePos x="0" y="0"/>
                <wp:positionH relativeFrom="page">
                  <wp:posOffset>6400800</wp:posOffset>
                </wp:positionH>
                <wp:positionV relativeFrom="page">
                  <wp:posOffset>8869680</wp:posOffset>
                </wp:positionV>
                <wp:extent cx="914400" cy="228600"/>
                <wp:effectExtent l="0" t="0" r="0" b="0"/>
                <wp:wrapNone/>
                <wp:docPr id="40"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caps/>
              </w:rPr>
            </w:pPr>
            <w:r>
              <w:rPr/>
              <w:t>B.</w:t>
              <w:tab/>
              <w:t>QUANTITIES OF GAS (Cont’d.)</w:t>
            </w:r>
          </w:p>
          <w:p>
            <w:pPr>
              <w:pStyle w:val="Level2"/>
              <w:rPr/>
            </w:pPr>
            <w:r>
              <w:rPr/>
              <w:t>3.</w:t>
              <w:tab/>
            </w:r>
            <w:r>
              <w:rPr>
                <w:caps/>
              </w:rPr>
              <w:t>nominations (C</w:t>
            </w:r>
            <w:r>
              <w:rPr/>
              <w:t>ont’d.)</w:t>
            </w:r>
          </w:p>
          <w:p>
            <w:pPr>
              <w:pStyle w:val="Level3"/>
              <w:rPr/>
            </w:pPr>
            <w:r>
              <w:rPr/>
              <w:t>g.</w:t>
              <w:tab/>
              <w:t>Intraday 1 Nomination Cycle</w:t>
            </w:r>
          </w:p>
          <w:p>
            <w:pPr>
              <w:pStyle w:val="Level3Sub"/>
              <w:rPr/>
            </w:pPr>
            <w:r>
              <w:rPr/>
              <w:t xml:space="preserve">An Intraday 1 Nomination must be received by PG&amp;E no later than 8:00 a.m. on the gas day for which service is requested.  Intraday 1 Nominations will be effective at 3:00 p.m. the same day.  Intraday 1 Nominations will be confirmed and scheduled after all Timely and Evening Nominations are confirmed and scheduled.  </w:t>
            </w:r>
          </w:p>
          <w:p>
            <w:pPr>
              <w:pStyle w:val="Level3Sub"/>
              <w:rPr/>
            </w:pPr>
            <w:r>
              <w:rPr/>
              <w:t>PG&amp;E will provide to the Customer/Agent/CTA a confirmed nomination report indicating the nomination quantities which have been received and confirmed for transport on PG&amp;E’s system and which have been communicated to the upstream and/or downstream pipeline(s) and/or operator(s).  Subject to PG&amp;E receiving notification from the applicable upstream and/or downstream pipeline(s) and/or operator(s), PG&amp;E will provide to the Customer/Agent/CTA a scheduled quantities report .  PG&amp;E will attempt, but cannot guarantee, delivery of these two reports by 11:00 a.m. and 12:00 p.m., respectively.</w:t>
            </w:r>
          </w:p>
          <w:p>
            <w:pPr>
              <w:pStyle w:val="Level3Sub"/>
              <w:rPr/>
            </w:pPr>
            <w:r>
              <w:rPr/>
              <w:t>Intraday 1 Nomination summary</w:t>
            </w:r>
          </w:p>
          <w:p>
            <w:pPr>
              <w:pStyle w:val="Level3Sub"/>
              <w:numPr>
                <w:ilvl w:val="0"/>
                <w:numId w:val="2"/>
              </w:numPr>
              <w:spacing w:before="0" w:after="120"/>
              <w:rPr/>
            </w:pPr>
            <w:r>
              <w:rPr/>
              <w:t>Nominations submitted:</w:t>
              <w:tab/>
              <w:t>No later than 8:00 a.m.</w:t>
            </w:r>
          </w:p>
          <w:p>
            <w:pPr>
              <w:pStyle w:val="Level3Sub"/>
              <w:numPr>
                <w:ilvl w:val="0"/>
                <w:numId w:val="2"/>
              </w:numPr>
              <w:rPr/>
            </w:pPr>
            <w:r>
              <w:rPr/>
              <w:t>Flow will be effective:</w:t>
              <w:tab/>
              <w:tab/>
              <w:t>3:00 p.m. the same day</w:t>
            </w:r>
          </w:p>
          <w:p>
            <w:pPr>
              <w:pStyle w:val="Level3Sub"/>
              <w:rPr/>
            </w:pPr>
            <w:r>
              <w:rPr/>
              <w:t>Intraday 1 Nominations will be confirmed and scheduled by priority of service among all Intraday 1 Nominations PG&amp;E has received and in accordance with Rule 14.</w:t>
            </w:r>
          </w:p>
          <w:p>
            <w:pPr>
              <w:pStyle w:val="Level3Sub"/>
              <w:spacing w:before="0" w:after="240"/>
              <w:rPr/>
            </w:pPr>
            <w:r>
              <w:rPr/>
              <w:t>An Intraday 1 Nomination either may be the Customer/Agent/CTA’s first nomination for service for the gas day or may modify its previous nomination, Timely or Evening, if any.  An Intraday 1 Nomination may also increase or decrease previously scheduled quantities subject to Section B.3.b. and scheduling non-performance in Section B.4.  An Intraday 1 Nomination does not carry over to the following cycle.</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r>
          </w:p>
          <w:p>
            <w:pPr>
              <w:pStyle w:val="EditNotations"/>
              <w:rPr/>
            </w:pPr>
            <w:r>
              <w:rPr/>
              <w:t>(T)</w:t>
            </w:r>
          </w:p>
          <w:p>
            <w:pPr>
              <w:pStyle w:val="EditNotations"/>
              <w:rPr/>
            </w:pPr>
            <w:r>
              <w:rPr/>
              <w:t>|</w:t>
            </w:r>
          </w:p>
          <w:p>
            <w:pPr>
              <w:pStyle w:val="EditNotations"/>
              <w:rPr/>
            </w:pPr>
            <w:r>
              <w:rPr/>
              <w:t>(T)</w:t>
            </w:r>
          </w:p>
          <w:p>
            <w:pPr>
              <w:pStyle w:val="EditNotations"/>
              <w:rPr/>
            </w:pPr>
            <w:r>
              <w:rPr/>
            </w:r>
          </w:p>
          <w:p>
            <w:pPr>
              <w:pStyle w:val="EditNotations"/>
              <w:rPr/>
            </w:pPr>
            <w:r>
              <w:rPr/>
            </w:r>
          </w:p>
          <w:p>
            <w:pPr>
              <w:pStyle w:val="EditNotations"/>
              <w:rPr/>
            </w:pPr>
            <w:r>
              <w:rPr/>
              <w:t>(D)</w:t>
            </w:r>
          </w:p>
          <w:p>
            <w:pPr>
              <w:pStyle w:val="EditNotations"/>
              <w:rPr/>
            </w:pPr>
            <w:r>
              <w:rPr/>
              <w:t>(N)</w:t>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(T)</w:t>
            </w:r>
          </w:p>
          <w:p>
            <w:pPr>
              <w:pStyle w:val="EditNotations"/>
              <w:rPr/>
            </w:pPr>
            <w:r>
              <w:rPr/>
              <w:t>(N)</w:t>
            </w:r>
          </w:p>
          <w:p>
            <w:pPr>
              <w:pStyle w:val="EditNotations"/>
              <w:rPr/>
            </w:pPr>
            <w:r>
              <w:rPr/>
              <w:t>(N)</w:t>
            </w:r>
          </w:p>
          <w:p>
            <w:pPr>
              <w:pStyle w:val="EditNotations"/>
              <w:rPr/>
            </w:pPr>
            <w:r>
              <w:rPr/>
            </w:r>
          </w:p>
        </w:tc>
      </w:tr>
    </w:tbl>
    <w:p>
      <w:pPr>
        <w:sectPr>
          <w:headerReference w:type="default" r:id="rId32"/>
          <w:headerReference w:type="first" r:id="rId33"/>
          <w:footerReference w:type="default" r:id="rId34"/>
          <w:footerReference w:type="first" r:id="rId35"/>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5">
                <wp:simplePos x="0" y="0"/>
                <wp:positionH relativeFrom="page">
                  <wp:posOffset>6400800</wp:posOffset>
                </wp:positionH>
                <wp:positionV relativeFrom="page">
                  <wp:posOffset>8869680</wp:posOffset>
                </wp:positionV>
                <wp:extent cx="914400" cy="228600"/>
                <wp:effectExtent l="0" t="0" r="0" b="0"/>
                <wp:wrapNone/>
                <wp:docPr id="45"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caps/>
              </w:rPr>
            </w:pPr>
            <w:r>
              <w:rPr/>
              <w:t>B.</w:t>
              <w:tab/>
              <w:t>QUANTITIES OF GAS (Cont’d.)</w:t>
            </w:r>
          </w:p>
          <w:p>
            <w:pPr>
              <w:pStyle w:val="Level2"/>
              <w:rPr/>
            </w:pPr>
            <w:r>
              <w:rPr/>
              <w:t>3.</w:t>
              <w:tab/>
            </w:r>
            <w:r>
              <w:rPr>
                <w:caps/>
              </w:rPr>
              <w:t>nominations</w:t>
            </w:r>
            <w:r>
              <w:rPr/>
              <w:t xml:space="preserve"> (Cont’d.)</w:t>
            </w:r>
          </w:p>
          <w:p>
            <w:pPr>
              <w:pStyle w:val="Level3"/>
              <w:rPr/>
            </w:pPr>
            <w:r>
              <w:rPr/>
              <w:t>h.</w:t>
              <w:tab/>
              <w:t>Intraday 2 Nomination Cycle</w:t>
            </w:r>
          </w:p>
          <w:p>
            <w:pPr>
              <w:pStyle w:val="Level3Sub"/>
              <w:rPr/>
            </w:pPr>
            <w:r>
              <w:rPr/>
              <w:t xml:space="preserve">An Intraday 2 Nomination must be received by PG&amp;E no later than 3:00 p.m. on the gas day for which service is requested.  Intraday 2 Nominations will be effective at 7:00 p.m. the same day.  Intraday 2 Nominations will be confirmed and scheduled after all Timely, Evening and Intraday 1 Nominations are confirmed and scheduled.    </w:t>
            </w:r>
          </w:p>
          <w:p>
            <w:pPr>
              <w:pStyle w:val="Level3Sub"/>
              <w:rPr/>
            </w:pPr>
            <w:r>
              <w:rPr/>
              <w:t>PG&amp;E will provide to the Customer/Agent/CTA a confirmed nomination report indicating the nomination quantities which have been received and confirmed for transport on PG&amp;E’s system and which have been communicated to the upstream and/or downstream pipeline(s) and/or operator(s).  Subject to PG&amp;E receiving notification from the applicable upstream and/or downstream pipeline(s) and/or operator(s), PG&amp;E will provide to the Customer/Agent/CTA a scheduled quantities report.  PG&amp;E will attempt, but cannot guarantee, delivery of these two reports by 7:00 p.m.</w:t>
            </w:r>
          </w:p>
          <w:p>
            <w:pPr>
              <w:pStyle w:val="Level3Sub"/>
              <w:rPr/>
            </w:pPr>
            <w:r>
              <w:rPr/>
              <w:t>Intraday 2 Nomination summary</w:t>
            </w:r>
          </w:p>
          <w:p>
            <w:pPr>
              <w:pStyle w:val="Level3Sub"/>
              <w:numPr>
                <w:ilvl w:val="0"/>
                <w:numId w:val="2"/>
              </w:numPr>
              <w:spacing w:before="0" w:after="120"/>
              <w:rPr/>
            </w:pPr>
            <w:r>
              <w:rPr/>
              <w:t>Nominations submitted:</w:t>
              <w:tab/>
              <w:t>No later than 3:00 p.m.</w:t>
            </w:r>
          </w:p>
          <w:p>
            <w:pPr>
              <w:pStyle w:val="Level3Sub"/>
              <w:numPr>
                <w:ilvl w:val="0"/>
                <w:numId w:val="2"/>
              </w:numPr>
              <w:rPr/>
            </w:pPr>
            <w:r>
              <w:rPr/>
              <w:t>Flow will be effective:</w:t>
              <w:tab/>
              <w:tab/>
              <w:t>7:00 p.m. the same day</w:t>
            </w:r>
          </w:p>
          <w:p>
            <w:pPr>
              <w:pStyle w:val="Level3Sub"/>
              <w:rPr/>
            </w:pPr>
            <w:r>
              <w:rPr/>
              <w:t>Intraday 2 Nominations will be confirmed and scheduled by priority of service among all Intraday 2 Nominations PG&amp;E has received and in accordance with Rule 14.</w:t>
            </w:r>
          </w:p>
          <w:p>
            <w:pPr>
              <w:pStyle w:val="Level3Sub"/>
              <w:spacing w:before="0" w:after="240"/>
              <w:rPr/>
            </w:pPr>
            <w:r>
              <w:rPr/>
              <w:t>An Intraday 2 Nomination either may be the Customer/Agent/CTA’s first nomination for service for the gas day or may modify its previous nomination, Timely, Evening or Intraday 1, if any.  An Intraday 2 Nomination may increase or decrease previously scheduled quantities subject to Section B.3.b. and scheduling non-performance in Section B.4.  An Intraday 2 Nomination does not carry over to the following cycle.</w:t>
            </w:r>
          </w:p>
        </w:tc>
        <w:tc>
          <w:tcPr>
            <w:tcW w:w="1008" w:type="dxa"/>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sectPr>
          <w:headerReference w:type="default" r:id="rId36"/>
          <w:headerReference w:type="first" r:id="rId37"/>
          <w:footerReference w:type="default" r:id="rId38"/>
          <w:footerReference w:type="first" r:id="rId39"/>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6">
                <wp:simplePos x="0" y="0"/>
                <wp:positionH relativeFrom="page">
                  <wp:posOffset>6400800</wp:posOffset>
                </wp:positionH>
                <wp:positionV relativeFrom="page">
                  <wp:posOffset>8869680</wp:posOffset>
                </wp:positionV>
                <wp:extent cx="914400" cy="228600"/>
                <wp:effectExtent l="0" t="0" r="0" b="0"/>
                <wp:wrapNone/>
                <wp:docPr id="50"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B.</w:t>
              <w:tab/>
              <w:t xml:space="preserve">QUANTITIES OF GAS </w:t>
            </w:r>
            <w:r>
              <w:rPr>
                <w:caps/>
              </w:rPr>
              <w:t>(</w:t>
            </w:r>
            <w:r>
              <w:rPr/>
              <w:t>Cont’d.</w:t>
            </w:r>
            <w:r>
              <w:rPr>
                <w:caps/>
              </w:rPr>
              <w:t>)</w:t>
            </w:r>
          </w:p>
          <w:p>
            <w:pPr>
              <w:pStyle w:val="Level2"/>
              <w:rPr/>
            </w:pPr>
            <w:r>
              <w:rPr/>
              <w:t>4.</w:t>
              <w:tab/>
            </w:r>
            <w:r>
              <w:rPr>
                <w:caps/>
              </w:rPr>
              <w:t>scheduling non-performance</w:t>
            </w:r>
          </w:p>
          <w:p>
            <w:pPr>
              <w:pStyle w:val="Level2Sub"/>
              <w:rPr/>
            </w:pPr>
            <w:r>
              <w:rPr/>
              <w:t xml:space="preserve">An excess of confirmed nominations relative to scheduled nominations for a given gas day for a given Customer/Agent/CTA and a particular transportation exhibit to the Gas Transmission Service Agreement (GTSA) shall be deemed to be scheduling non-performance.  This section sets forth PG&amp;E’s remedies to reduce and eliminate such scheduling non-performance.  </w:t>
            </w:r>
          </w:p>
          <w:p>
            <w:pPr>
              <w:pStyle w:val="Level2Sub"/>
              <w:rPr/>
            </w:pPr>
            <w:r>
              <w:rPr/>
              <w:t>If the quantity of gas which PG&amp;E confirms for the Customer/Agent/CTA based on the total of its Timely and Evening nominations described in Section B.3. above, submitted and processed on the day prior to gas flow, exceeds the quantity of gas which PG&amp;E schedules at the Receipt Point for the Customer/Agent/CTA based on the total of its Timely and Evening nominations submitted and processed on the day prior to gas flow, by the greater of ten (10) percent, of the confirmed nomination(s) or 5,000 Dth, for at least three days in any thirty</w:t>
              <w:noBreakHyphen/>
              <w:t>day period, then PG&amp;E shall take steps to remedy the scheduling non-performance in the following order:</w:t>
            </w:r>
          </w:p>
          <w:p>
            <w:pPr>
              <w:pStyle w:val="Level3"/>
              <w:ind w:hanging="864" w:start="1728" w:end="0"/>
              <w:rPr/>
            </w:pPr>
            <w:r>
              <w:rPr/>
              <w:t>Step 1:</w:t>
              <w:tab/>
              <w:t>PG&amp;E will contact the Customer/Agent/CTA to determine the cause of the scheduling non-performance.</w:t>
            </w:r>
          </w:p>
          <w:p>
            <w:pPr>
              <w:pStyle w:val="Level3"/>
              <w:ind w:hanging="864" w:start="1728" w:end="0"/>
              <w:rPr/>
            </w:pPr>
            <w:r>
              <w:rPr/>
              <w:t>Step 2:</w:t>
              <w:tab/>
              <w:t>PG&amp;E will limit the Customer/Agent/CTA’s nominations for up to three gas days consistent with recent actual deliveries by the Customer/Agent/CTA.</w:t>
            </w:r>
          </w:p>
          <w:p>
            <w:pPr>
              <w:pStyle w:val="Level3"/>
              <w:ind w:hanging="864" w:start="1728" w:end="0"/>
              <w:rPr/>
            </w:pPr>
            <w:r>
              <w:rPr/>
              <w:t>Step 3:</w:t>
              <w:tab/>
              <w:t xml:space="preserve">After the third day in Step 2, above, and for each day thereafter until 30 continuous days of nominations have elapsed with no further scheduling non-performance as described above, PG&amp;E will bill the Customer/Agent/CTA an amount equal to the volumetric rate of the applicable GTSA exhibit, multiplied by the excess of confirmed nomination(s) over scheduled nominations, reduced by the greater of ten percent of the confirmed nomination(s) or 5,000 Dth.  </w:t>
            </w:r>
          </w:p>
          <w:p>
            <w:pPr>
              <w:pStyle w:val="Level2Sub"/>
              <w:rPr/>
            </w:pPr>
            <w:r>
              <w:rPr/>
              <w:t>If the scheduling non-performance is not remedied or satisfactorily explained after Step 1, PG&amp;E may, in the exercise of its discretion, implement Step 2.  In the event that implementation of Step 2 does not remedy the scheduling non-performance, PG&amp;E may, in the exercise of its discretion, implement Step 3.  The remedies hereunder will be applied without undue preference or discrimination.</w:t>
            </w:r>
          </w:p>
          <w:p>
            <w:pPr>
              <w:pStyle w:val="Level3"/>
              <w:spacing w:before="0" w:after="240"/>
              <w:ind w:hanging="432" w:start="1296" w:end="0"/>
              <w:rPr/>
            </w:pPr>
            <w:r>
              <w:rPr/>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tc>
      </w:tr>
    </w:tbl>
    <w:p>
      <w:pPr>
        <w:sectPr>
          <w:headerReference w:type="default" r:id="rId40"/>
          <w:headerReference w:type="first" r:id="rId41"/>
          <w:footerReference w:type="default" r:id="rId42"/>
          <w:footerReference w:type="first" r:id="rId43"/>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7">
                <wp:simplePos x="0" y="0"/>
                <wp:positionH relativeFrom="page">
                  <wp:posOffset>6400800</wp:posOffset>
                </wp:positionH>
                <wp:positionV relativeFrom="page">
                  <wp:posOffset>8869680</wp:posOffset>
                </wp:positionV>
                <wp:extent cx="914400" cy="228600"/>
                <wp:effectExtent l="0" t="0" r="0" b="0"/>
                <wp:wrapNone/>
                <wp:docPr id="55"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B.</w:t>
              <w:tab/>
              <w:t xml:space="preserve">QUANTITIES OF GAS </w:t>
            </w:r>
            <w:r>
              <w:rPr>
                <w:caps/>
              </w:rPr>
              <w:t>(</w:t>
            </w:r>
            <w:r>
              <w:rPr/>
              <w:t>Cont’d.</w:t>
            </w:r>
            <w:r>
              <w:rPr>
                <w:caps/>
              </w:rPr>
              <w:t>)</w:t>
            </w:r>
          </w:p>
          <w:p>
            <w:pPr>
              <w:pStyle w:val="Level2"/>
              <w:rPr/>
            </w:pPr>
            <w:r>
              <w:rPr/>
              <w:t>5.</w:t>
              <w:tab/>
              <w:t xml:space="preserve">IMBALANCES IN DELIVERIES </w:t>
            </w:r>
          </w:p>
          <w:p>
            <w:pPr>
              <w:pStyle w:val="Level3"/>
              <w:rPr/>
            </w:pPr>
            <w:r>
              <w:rPr/>
              <w:t>a.</w:t>
              <w:tab/>
              <w:t>On any given day the Customer/Agent/CTA shall bring in a quantity of Customer-Owned Gas, adjusted for In-Kind Shrinkage Allowance, to be delivered to the Customer/Agent/CTA, approximately equal to the quantity of gas received by PG&amp;E for transportation to the Customer/Agent/CTA that day.</w:t>
            </w:r>
          </w:p>
          <w:p>
            <w:pPr>
              <w:pStyle w:val="Level3Sub"/>
              <w:rPr/>
            </w:pPr>
            <w:r>
              <w:rPr/>
              <w:t>Any day-to-day imbalance will be handled and resolved through Schedule G</w:t>
              <w:noBreakHyphen/>
              <w:t>BAL.</w:t>
            </w:r>
          </w:p>
          <w:p>
            <w:pPr>
              <w:pStyle w:val="Level3"/>
              <w:rPr/>
            </w:pPr>
            <w:r>
              <w:rPr/>
              <w:t>b.</w:t>
              <w:tab/>
              <w:t>Procedures for balancing the Customer/Agent/CTA’s account when PG&amp;E receives Customer-Owned Gas for transportation but, because of constraints or diversions, does not deliver it to the Customer/Agent/CTA, are covered in Rule 14.</w:t>
            </w:r>
          </w:p>
          <w:p>
            <w:pPr>
              <w:pStyle w:val="Level3"/>
              <w:rPr/>
            </w:pPr>
            <w:r>
              <w:rPr/>
              <w:t>c.</w:t>
              <w:tab/>
              <w:t>A transmission Customer Imbalance, defined in Schedule G</w:t>
              <w:noBreakHyphen/>
              <w:t>BAL, refers to a difference between a Customer/Agent/CTA’s final scheduled quantity and the quantity of gas actually delivered at the Receipt Point on behalf of that Customer/Agent/CTA for a given gas day.</w:t>
            </w:r>
          </w:p>
          <w:p>
            <w:pPr>
              <w:pStyle w:val="Level2"/>
              <w:rPr/>
            </w:pPr>
            <w:r>
              <w:rPr/>
              <w:t>6.</w:t>
              <w:tab/>
              <w:t>TRANSPORT OF CALIFORNIA PRODUCTION GAS</w:t>
            </w:r>
          </w:p>
          <w:p>
            <w:pPr>
              <w:pStyle w:val="Level2Sub"/>
              <w:spacing w:before="0" w:after="240"/>
              <w:ind w:hanging="0" w:start="864" w:end="0"/>
              <w:rPr/>
            </w:pPr>
            <w:r>
              <w:rPr/>
              <w:t xml:space="preserve">PG&amp;E may receive gas from California production supply for transport by a Customer/Agent/CTA from various Receipt Points on PG&amp;E’s system.  As of April 1, 1998, nominations shall be accepted by PG&amp;E only from California production Receipt Points which are designated in a </w:t>
            </w:r>
            <w:r>
              <w:rPr>
                <w:u w:val="single"/>
              </w:rPr>
              <w:t>California Production Balancing Agreement</w:t>
            </w:r>
            <w:r>
              <w:rPr/>
              <w:t xml:space="preserve"> (Form No. 79-944) which has been executed between a California producer’s Authorized Agent and PG&amp;E.</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(N)</w:t>
            </w:r>
          </w:p>
        </w:tc>
      </w:tr>
    </w:tbl>
    <w:p>
      <w:pPr>
        <w:sectPr>
          <w:headerReference w:type="default" r:id="rId44"/>
          <w:headerReference w:type="first" r:id="rId45"/>
          <w:footerReference w:type="default" r:id="rId46"/>
          <w:footerReference w:type="first" r:id="rId47"/>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8">
                <wp:simplePos x="0" y="0"/>
                <wp:positionH relativeFrom="page">
                  <wp:posOffset>6400800</wp:posOffset>
                </wp:positionH>
                <wp:positionV relativeFrom="page">
                  <wp:posOffset>8869680</wp:posOffset>
                </wp:positionV>
                <wp:extent cx="914400" cy="228600"/>
                <wp:effectExtent l="0" t="0" r="0" b="0"/>
                <wp:wrapNone/>
                <wp:docPr id="60"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C.</w:t>
              <w:tab/>
              <w:t>QUALITY OF GAS</w:t>
            </w:r>
          </w:p>
          <w:p>
            <w:pPr>
              <w:pStyle w:val="Level1Sub"/>
              <w:rPr/>
            </w:pPr>
            <w:r>
              <w:rPr/>
              <w:t xml:space="preserve">Gas delivered to PG&amp;E for transportation to the Delivery Point(s) shall meet the gas quality specifications stated in the service agreement between the delivering pipeline company and PG&amp;E.  If no gas-quality specifications agreement exists between the delivering pipeline company and PG&amp;E for the Receipt Point(s), or if the natural gas is not delivered by a pipeline, the gas received by PG&amp;E shall meet the following specifications: </w:t>
            </w:r>
          </w:p>
          <w:p>
            <w:pPr>
              <w:pStyle w:val="Level2"/>
              <w:ind w:end="-94"/>
              <w:rPr/>
            </w:pPr>
            <w:r>
              <w:rPr/>
              <w:t>1.</w:t>
              <w:tab/>
              <w:t xml:space="preserve">Carbon dioxide:  The gas shall contain no more than one percent by volume </w:t>
            </w:r>
            <w:r>
              <w:rPr>
                <w:color w:val="000000"/>
              </w:rPr>
              <w:t>of</w:t>
            </w:r>
            <w:r>
              <w:rPr/>
              <w:t xml:space="preserve"> carbon dioxide.</w:t>
            </w:r>
          </w:p>
          <w:p>
            <w:pPr>
              <w:pStyle w:val="Level2"/>
              <w:rPr/>
            </w:pPr>
            <w:r>
              <w:rPr/>
              <w:t>2.</w:t>
              <w:tab/>
              <w:t>Oxygen:  The gas shall contain no more than 0.1 percent by volume of oxygen.</w:t>
            </w:r>
          </w:p>
          <w:p>
            <w:pPr>
              <w:pStyle w:val="Level2"/>
              <w:rPr/>
            </w:pPr>
            <w:r>
              <w:rPr/>
              <w:t>3.</w:t>
              <w:tab/>
              <w:t>Hydrogen sulfide:  The gas shall contain no more than 0.25 grain of hydrogen sulfide per one hundred standard cubic feet.</w:t>
            </w:r>
          </w:p>
          <w:p>
            <w:pPr>
              <w:pStyle w:val="Level2"/>
              <w:rPr/>
            </w:pPr>
            <w:r>
              <w:rPr/>
              <w:t>4.</w:t>
              <w:tab/>
              <w:t>Mercaptan sulfur:  The gas shall contain no more than 0.5 grain of mercaptan sulfur per one hundred standard cubic feet.</w:t>
            </w:r>
          </w:p>
          <w:p>
            <w:pPr>
              <w:pStyle w:val="Level2"/>
              <w:rPr/>
            </w:pPr>
            <w:r>
              <w:rPr/>
              <w:t>5.</w:t>
              <w:tab/>
              <w:t>Total sulfur:  The gas shall contain no more than one grain of total sulfur per one hundred standard cubic feet.</w:t>
            </w:r>
          </w:p>
          <w:p>
            <w:pPr>
              <w:pStyle w:val="Level2"/>
              <w:rPr/>
            </w:pPr>
            <w:r>
              <w:rPr/>
              <w:t>6.</w:t>
              <w:tab/>
              <w:t>Water vapor:  The gas shall contain no more than seven pounds of water vapor per million standard cubic feet.</w:t>
            </w:r>
          </w:p>
          <w:p>
            <w:pPr>
              <w:pStyle w:val="Level2"/>
              <w:rPr/>
            </w:pPr>
            <w:r>
              <w:rPr/>
              <w:t>7.</w:t>
              <w:tab/>
              <w:t>Hydrocarbon dewpoint:  The gas shall not have a hydrocarbon dewpoint that will allow formation of liquids under the operating conditions of the receiving pipeline.</w:t>
            </w:r>
          </w:p>
          <w:p>
            <w:pPr>
              <w:pStyle w:val="Level2"/>
              <w:rPr/>
            </w:pPr>
            <w:r>
              <w:rPr/>
              <w:t>8.</w:t>
              <w:tab/>
              <w:t>Liquids:  The gas shall contain no liquids at the Receipt Point(s).</w:t>
            </w:r>
          </w:p>
          <w:p>
            <w:pPr>
              <w:pStyle w:val="Level2"/>
              <w:spacing w:before="0" w:after="240"/>
              <w:ind w:hanging="432" w:start="864" w:end="0"/>
              <w:rPr/>
            </w:pPr>
            <w:r>
              <w:rPr/>
              <w:t>9.</w:t>
              <w:tab/>
              <w:t>Objectionable matter:  The gas shall not contain dust, sand, dirt, gums, oils, or other substances in an amount sufficient to be injurious to PG&amp;E facilities or which shall cause the gas to be unmarketable.</w:t>
            </w:r>
          </w:p>
        </w:tc>
        <w:tc>
          <w:tcPr>
            <w:tcW w:w="1008" w:type="dxa"/>
            <w:tcBorders/>
          </w:tcPr>
          <w:p>
            <w:pPr>
              <w:pStyle w:val="EditNotations"/>
              <w:snapToGrid w:val="false"/>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tc>
      </w:tr>
    </w:tbl>
    <w:p>
      <w:pPr>
        <w:sectPr>
          <w:headerReference w:type="default" r:id="rId48"/>
          <w:headerReference w:type="first" r:id="rId49"/>
          <w:footerReference w:type="default" r:id="rId50"/>
          <w:footerReference w:type="first" r:id="rId51"/>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59">
                <wp:simplePos x="0" y="0"/>
                <wp:positionH relativeFrom="page">
                  <wp:posOffset>6400800</wp:posOffset>
                </wp:positionH>
                <wp:positionV relativeFrom="page">
                  <wp:posOffset>8869680</wp:posOffset>
                </wp:positionV>
                <wp:extent cx="914400" cy="228600"/>
                <wp:effectExtent l="0" t="0" r="0" b="0"/>
                <wp:wrapNone/>
                <wp:docPr id="65"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RuleTitle"/>
              <w:spacing w:lineRule="exact" w:line="240" w:before="0" w:after="240"/>
              <w:jc w:val="center"/>
              <w:rPr/>
            </w:pPr>
            <w:r>
              <w:rPr/>
              <w:t>RULE 21—TRANSPORTATION OF NATURAL GAS</w:t>
              <w:br/>
            </w:r>
            <w:r>
              <w:rPr>
                <w:u w:val="none"/>
              </w:rPr>
              <w:t>(Continued)</w:t>
            </w:r>
          </w:p>
        </w:tc>
      </w:tr>
      <w:tr>
        <w:trPr/>
        <w:tc>
          <w:tcPr>
            <w:tcW w:w="9000" w:type="dxa"/>
            <w:tcBorders/>
          </w:tcPr>
          <w:p>
            <w:pPr>
              <w:pStyle w:val="Level1"/>
              <w:rPr/>
            </w:pPr>
            <w:r>
              <w:rPr/>
              <w:t>C.</w:t>
              <w:tab/>
              <w:t>QUALITY OF GAS (Cont’d.)</w:t>
            </w:r>
          </w:p>
          <w:p>
            <w:pPr>
              <w:pStyle w:val="Level2"/>
              <w:rPr/>
            </w:pPr>
            <w:r>
              <w:rPr/>
              <w:t>10.</w:t>
              <w:tab/>
              <w:t>Temperature:  The gas shall not be delivered at less than 60 degrees Fahrenheit or more than 100 degrees Fahrenheit.</w:t>
            </w:r>
          </w:p>
          <w:p>
            <w:pPr>
              <w:pStyle w:val="Level2"/>
              <w:rPr/>
            </w:pPr>
            <w:r>
              <w:rPr/>
              <w:t>11.</w:t>
              <w:tab/>
              <w:t>Gas from landfills:  Gas from landfills will not be accepted or transported under the Agreement.</w:t>
            </w:r>
          </w:p>
          <w:p>
            <w:pPr>
              <w:pStyle w:val="Level2"/>
              <w:rPr/>
            </w:pPr>
            <w:r>
              <w:rPr/>
              <w:t>12.</w:t>
              <w:tab/>
              <w:t>Gas interchangeability:  The gas shall be interchangeable with the gas in the receiving pipeline.  Interchangeability shall be determined in accordance with the methods and limits presented in Bulletin 36 of the American Gas Association.</w:t>
            </w:r>
          </w:p>
          <w:p>
            <w:pPr>
              <w:pStyle w:val="Level2"/>
              <w:rPr/>
            </w:pPr>
            <w:r>
              <w:rPr/>
              <w:t>13.</w:t>
              <w:tab/>
              <w:t>Heating value:  The gas shall have a heating value that is consistent with the standards established by PG&amp;E for each Receipt Point(s).</w:t>
            </w:r>
          </w:p>
          <w:p>
            <w:pPr>
              <w:pStyle w:val="Level1"/>
              <w:rPr/>
            </w:pPr>
            <w:r>
              <w:rPr/>
              <w:t>D.</w:t>
              <w:tab/>
              <w:t>ACCOUNTING AND BILLING</w:t>
            </w:r>
          </w:p>
          <w:p>
            <w:pPr>
              <w:pStyle w:val="Level2"/>
              <w:rPr/>
            </w:pPr>
            <w:r>
              <w:rPr/>
              <w:t>1.</w:t>
              <w:tab/>
              <w:t>DESIGNATION OF QUANTITIES DELIVERED FOR TRANSPORTATION</w:t>
            </w:r>
          </w:p>
          <w:p>
            <w:pPr>
              <w:pStyle w:val="Level2Sub"/>
              <w:rPr/>
            </w:pPr>
            <w:r>
              <w:rPr/>
              <w:t xml:space="preserve">PG&amp;E may be receiving gas from various sources at the Receipt Point(s).  Gas entering the PG&amp;E system shall be measured by either PG&amp;E or a third party designated by PG&amp;E as its agent.  Where such third party acts as PG&amp;E’s measuring agent, the Customer shall accept as correct the agent’s determination of the quantity of gas (in Mcf and decatherms) it has delivered to PG&amp;E for the Customer/Agent/CTA’s account subject to the limitations of Rule 14.  Where gas is measured by PG&amp;E, the Customer/Agent/CTA shall accept as correct PG&amp;E’s measurement of the gas received (see Section D.3 below for information about access to meters and charts and other records). </w:t>
            </w:r>
          </w:p>
          <w:p>
            <w:pPr>
              <w:pStyle w:val="Level2"/>
              <w:rPr/>
            </w:pPr>
            <w:r>
              <w:rPr/>
              <w:t>2.</w:t>
              <w:tab/>
              <w:t>BILLING</w:t>
            </w:r>
          </w:p>
          <w:p>
            <w:pPr>
              <w:pStyle w:val="Level2Sub"/>
              <w:rPr/>
            </w:pPr>
            <w:r>
              <w:rPr/>
              <w:t>Each month, PG&amp;E shall send the Customer/Agent/CTA a bill.  The bill will show the quantities of gas adjusted for In-Kind Shrinkage Allowance, delivered to PG&amp;E for the Customer/Agent/CTA’s account at each Delivery Point for the billing month.  PG&amp;E may use estimated quantities in the bill, and the Customer/Agent/CTA shall be obligated to pay the estimated bill as presented; PG&amp;E will then make any necessary adjustments in the subsequent months’ billings.</w:t>
            </w:r>
          </w:p>
          <w:p>
            <w:pPr>
              <w:pStyle w:val="Level1Sub"/>
              <w:spacing w:before="0" w:after="240"/>
              <w:ind w:hanging="0" w:start="432" w:end="0"/>
              <w:rPr/>
            </w:pPr>
            <w:r>
              <w:rPr/>
            </w:r>
          </w:p>
        </w:tc>
        <w:tc>
          <w:tcPr>
            <w:tcW w:w="504" w:type="dxa"/>
            <w:tcBorders/>
          </w:tcPr>
          <w:p>
            <w:pPr>
              <w:pStyle w:val="EditNotations"/>
              <w:snapToGrid w:val="false"/>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w:t>
            </w:r>
          </w:p>
          <w:p>
            <w:pPr>
              <w:pStyle w:val="EditNotations"/>
              <w:rPr/>
            </w:pPr>
            <w:r>
              <w:rPr/>
              <w:t>(T)</w:t>
            </w:r>
          </w:p>
        </w:tc>
        <w:tc>
          <w:tcPr>
            <w:tcW w:w="504"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tc>
      </w:tr>
    </w:tbl>
    <w:p>
      <w:pPr>
        <w:sectPr>
          <w:headerReference w:type="default" r:id="rId52"/>
          <w:headerReference w:type="first" r:id="rId53"/>
          <w:footerReference w:type="default" r:id="rId54"/>
          <w:footerReference w:type="first" r:id="rId55"/>
          <w:type w:val="nextPage"/>
          <w:pgSz w:w="12240" w:h="15840"/>
          <w:pgMar w:left="1656" w:right="547" w:gutter="0" w:header="720" w:top="1944" w:footer="576" w:bottom="1440"/>
          <w:pgNumType w:fmt="decimal"/>
          <w:formProt w:val="false"/>
          <w:textDirection w:val="lrTb"/>
          <w:docGrid w:type="default" w:linePitch="360" w:charSpace="0"/>
        </w:sectPr>
        <w:pStyle w:val="Normal"/>
        <w:rPr>
          <w:lang w:val="en-CA"/>
        </w:rPr>
      </w:pPr>
      <w:r>
        <w:rPr>
          <w:lang w:val="en-CA"/>
        </w:rPr>
      </w:r>
      <w:r>
        <mc:AlternateContent>
          <mc:Choice Requires="wps">
            <w:drawing>
              <wp:anchor behindDoc="0" distT="0" distB="0" distL="114935" distR="114935" simplePos="0" locked="0" layoutInCell="0" allowOverlap="1" relativeHeight="60">
                <wp:simplePos x="0" y="0"/>
                <wp:positionH relativeFrom="page">
                  <wp:posOffset>6400800</wp:posOffset>
                </wp:positionH>
                <wp:positionV relativeFrom="page">
                  <wp:posOffset>8869680</wp:posOffset>
                </wp:positionV>
                <wp:extent cx="914400" cy="228600"/>
                <wp:effectExtent l="0" t="0" r="0" b="0"/>
                <wp:wrapNone/>
                <wp:docPr id="70"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608"/>
        <w:gridCol w:w="504"/>
      </w:tblGrid>
      <w:tr>
        <w:trPr/>
        <w:tc>
          <w:tcPr>
            <w:tcW w:w="10008" w:type="dxa"/>
            <w:gridSpan w:val="3"/>
            <w:tcBorders/>
          </w:tcPr>
          <w:p>
            <w:pPr>
              <w:pStyle w:val="RuleTitle"/>
              <w:spacing w:lineRule="exact" w:line="240" w:before="0" w:after="240"/>
              <w:jc w:val="center"/>
              <w:rPr/>
            </w:pPr>
            <w:r>
              <w:rPr/>
              <w:t>RULE 21—TRANSPORTATION OF NATURAL GAS</w:t>
              <w:br/>
            </w:r>
            <w:r>
              <w:rPr>
                <w:u w:val="none"/>
              </w:rPr>
              <w:t>(Continued)</w:t>
            </w:r>
          </w:p>
        </w:tc>
      </w:tr>
      <w:tr>
        <w:trPr/>
        <w:tc>
          <w:tcPr>
            <w:tcW w:w="8896" w:type="dxa"/>
            <w:tcBorders/>
          </w:tcPr>
          <w:p>
            <w:pPr>
              <w:pStyle w:val="Level1"/>
              <w:rPr/>
            </w:pPr>
            <w:r>
              <w:rPr/>
              <w:t>D.</w:t>
              <w:tab/>
              <w:t>ACCOUNTING AND BILLING (Cont’d.)</w:t>
            </w:r>
          </w:p>
          <w:p>
            <w:pPr>
              <w:pStyle w:val="Level2"/>
              <w:rPr/>
            </w:pPr>
            <w:r>
              <w:rPr/>
              <w:t>3.</w:t>
              <w:tab/>
              <w:t>BOOKS AND RECORDS</w:t>
            </w:r>
          </w:p>
          <w:p>
            <w:pPr>
              <w:pStyle w:val="Level2Sub"/>
              <w:rPr/>
            </w:pPr>
            <w:r>
              <w:rPr/>
              <w:t>PG&amp;E and the Customer/Agent/CTA shall keep accounting records and books in accordance with generally accepted accounting principles and practices in the industry.  PG&amp;E and the Customer/Agent/CTA shall have the right to examine those books and accounting records of the other.</w:t>
            </w:r>
          </w:p>
          <w:p>
            <w:pPr>
              <w:pStyle w:val="Level2Sub"/>
              <w:rPr/>
            </w:pPr>
            <w:r>
              <w:rPr/>
              <w:t>Any examination will be at the examining party’s expense, must be conducted at a reasonable time, and must be confined to the extent necessary to verify the accuracy of any statement, charge, or computation or any demand made under or as a result of transporting customer-owned natural gas.</w:t>
            </w:r>
          </w:p>
          <w:p>
            <w:pPr>
              <w:pStyle w:val="Level1"/>
              <w:rPr/>
            </w:pPr>
            <w:r>
              <w:rPr/>
              <w:t>E.</w:t>
              <w:tab/>
              <w:t>ADDITIONAL FACILITIES</w:t>
            </w:r>
          </w:p>
          <w:p>
            <w:pPr>
              <w:pStyle w:val="Level1Sub"/>
              <w:rPr/>
            </w:pPr>
            <w:r>
              <w:rPr/>
              <w:t>Transportation of Customer-Owned Gas does not obligate PG&amp;E to construct any additional facilities (including measuring facilities) or to modify any existing facilities to provide for receipt of Customer-Owned natural gas into the PG&amp;E system.  Customer/Agent/CTA shall have a separate agreement covering any new facilities or necessary modifications for either receipt or delivery of Customer-Owned Gas.</w:t>
            </w:r>
          </w:p>
          <w:p>
            <w:pPr>
              <w:pStyle w:val="Level1"/>
              <w:rPr/>
            </w:pPr>
            <w:r>
              <w:rPr/>
              <w:t>F.</w:t>
              <w:tab/>
              <w:t>POSSESSION OF GAS</w:t>
            </w:r>
          </w:p>
          <w:p>
            <w:pPr>
              <w:pStyle w:val="Level1Sub"/>
              <w:rPr/>
            </w:pPr>
            <w:r>
              <w:rPr/>
              <w:t>For Customer</w:t>
              <w:noBreakHyphen/>
              <w:t>Owned Gas, the Customer/Agent/CTA shall be deemed to be in control and possession of the gas until the gas is delivered to PG&amp;E at the Receipt Point(s).  The Customer/Agent/CTA shall be deemed to regain control and possession of the gas upon delivery from PG&amp;E to or on behalf of the Customer.</w:t>
            </w:r>
          </w:p>
          <w:p>
            <w:pPr>
              <w:pStyle w:val="Level1"/>
              <w:rPr/>
            </w:pPr>
            <w:r>
              <w:rPr/>
              <w:t>G.</w:t>
              <w:tab/>
              <w:t>INDEMNIFICATION</w:t>
            </w:r>
          </w:p>
          <w:p>
            <w:pPr>
              <w:pStyle w:val="Level1Sub"/>
              <w:spacing w:before="0" w:after="240"/>
              <w:ind w:hanging="0" w:start="432" w:end="0"/>
              <w:rPr/>
            </w:pPr>
            <w:r>
              <w:rPr/>
              <w:t>The Customer/Agent/CTA shall indemnify and hold harmless PG&amp;E, its officers, agents and employees against all loss, damage, expense, and liability, resulting from injury to or death of any person, including but not limited to employees of PG&amp;E, Customer/Agent/CTA or any third party, or for loss, destruction, damage to property, including but not limited to property of PG&amp;E, Customer/Agent/CTA, or any third party, arising out of or in any way connected with the transportation of customer-owned gas, however caused, except to the extent caused by the active negligence or willful misconduct of PG&amp;E, its officers, agents and employees.  The Customer/Agent/CTA shall on PG&amp;E’s request, defend any suit asserting a claim covered by this indemnity.  The indemnifying party shall pay all costs that may be incurred by the other party in enforcing this indemnity, including all reasonable attorney’s fees.</w:t>
            </w:r>
          </w:p>
        </w:tc>
        <w:tc>
          <w:tcPr>
            <w:tcW w:w="6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(D)</w:t>
            </w:r>
          </w:p>
        </w:tc>
        <w:tc>
          <w:tcPr>
            <w:tcW w:w="504" w:type="dxa"/>
            <w:tcBorders/>
          </w:tcPr>
          <w:p>
            <w:pPr>
              <w:pStyle w:val="EditNotations"/>
              <w:rPr/>
            </w:pPr>
            <w:r>
              <w:rPr/>
              <w:t>(L)</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(L)</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(L)</w:t>
            </w:r>
          </w:p>
          <w:p>
            <w:pPr>
              <w:pStyle w:val="EditNotations"/>
              <w:rPr/>
            </w:pPr>
            <w:r>
              <w:rPr/>
            </w:r>
          </w:p>
        </w:tc>
      </w:tr>
    </w:tbl>
    <w:p>
      <w:pPr>
        <w:pStyle w:val="Normal"/>
        <w:rPr/>
      </w:pPr>
      <w:r>
        <w:rPr/>
      </w:r>
    </w:p>
    <w:p>
      <w:pPr>
        <w:sectPr>
          <w:headerReference w:type="default" r:id="rId56"/>
          <w:headerReference w:type="first" r:id="rId57"/>
          <w:footerReference w:type="default" r:id="rId58"/>
          <w:footerReference w:type="first" r:id="rId59"/>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29604</w:t>
      <w:tab/>
      <w:tab/>
    </w:r>
    <w:r>
      <w:rPr>
        <w:i/>
        <w:sz w:val="18"/>
      </w:rPr>
      <w:t>Rates &amp; Account Services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29609</w:t>
      <w:tab/>
      <w:tab/>
    </w:r>
    <w:r>
      <w:rPr>
        <w:i/>
        <w:sz w:val="18"/>
      </w:rPr>
      <w:t>Rates &amp; Account Services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29610</w:t>
      <w:tab/>
      <w:tab/>
    </w:r>
    <w:r>
      <w:rPr>
        <w:i/>
        <w:sz w:val="18"/>
      </w:rPr>
      <w:t>Rates &amp; Account Services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29611</w:t>
      <w:tab/>
      <w:tab/>
    </w:r>
    <w:r>
      <w:rPr>
        <w:i/>
        <w:sz w:val="18"/>
      </w:rPr>
      <w:t>Rates &amp; Account Services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29612</w:t>
      <w:tab/>
      <w:tab/>
    </w:r>
    <w:r>
      <w:rPr>
        <w:i/>
        <w:sz w:val="18"/>
      </w:rPr>
      <w:t>Rates &amp; Account Services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29613</w:t>
      <w:tab/>
      <w:tab/>
    </w:r>
    <w:r>
      <w:rPr>
        <w:i/>
        <w:sz w:val="18"/>
      </w:rPr>
      <w:t>Rates &amp; Account Services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30105</w:t>
      <w:tab/>
      <w:tab/>
    </w:r>
    <w:r>
      <w:rPr>
        <w:i/>
        <w:sz w:val="18"/>
      </w:rPr>
      <w:t>Rates &amp; Account Services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29614</w:t>
      <w:tab/>
      <w:tab/>
    </w:r>
    <w:r>
      <w:rPr>
        <w:i/>
        <w:sz w:val="18"/>
      </w:rPr>
      <w:t>Rates &amp; Account Services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29615</w:t>
      <w:tab/>
      <w:tab/>
    </w:r>
    <w:r>
      <w:rPr>
        <w:i/>
        <w:sz w:val="18"/>
      </w:rPr>
      <w:t>Rates &amp; Account Services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25756</w:t>
      <w:tab/>
      <w:tab/>
    </w:r>
    <w:r>
      <w:rPr>
        <w:i/>
        <w:sz w:val="18"/>
      </w:rPr>
      <w:t>Rates &amp; Account Services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25757</w:t>
      <w:tab/>
      <w:tab/>
    </w:r>
    <w:r>
      <w:rPr>
        <w:i/>
        <w:sz w:val="18"/>
      </w:rPr>
      <w:t>Rates &amp; Account Services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2031-G</w:t>
      <w:tab/>
    </w:r>
    <w:r>
      <w:rPr>
        <w:i/>
        <w:sz w:val="18"/>
      </w:rPr>
      <w:t>Issued by</w:t>
      <w:tab/>
      <w:t>Date Filed</w:t>
    </w:r>
    <w:r>
      <w:rPr>
        <w:sz w:val="18"/>
        <w:u w:val="single"/>
      </w:rPr>
      <w:tab/>
      <w:t>August 11, 1997</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97-08-055</w:t>
      <w:tab/>
    </w:r>
    <w:r>
      <w:rPr>
        <w:b/>
        <w:i/>
        <w:sz w:val="18"/>
      </w:rPr>
      <w:t>Thomas E. Bottorff</w:t>
    </w:r>
    <w:r>
      <w:rPr>
        <w:i/>
        <w:sz w:val="18"/>
      </w:rPr>
      <w:tab/>
      <w:t>Effective</w:t>
    </w:r>
    <w:r>
      <w:rPr>
        <w:sz w:val="18"/>
        <w:u w:val="single"/>
      </w:rPr>
      <w:tab/>
      <w:t>March 1,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t>G-3288</w:t>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25758</w:t>
      <w:tab/>
      <w:tab/>
    </w:r>
    <w:r>
      <w:rPr>
        <w:i/>
        <w:sz w:val="18"/>
      </w:rPr>
      <w:t>Rates &amp; Account Services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30121</w:t>
      <w:tab/>
      <w:tab/>
    </w:r>
    <w:r>
      <w:rPr>
        <w:i/>
        <w:sz w:val="18"/>
      </w:rPr>
      <w:t>Rates &amp; Account Services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2094-G</w:t>
      <w:tab/>
    </w:r>
    <w:r>
      <w:rPr>
        <w:i/>
        <w:sz w:val="18"/>
      </w:rPr>
      <w:t>Issued by</w:t>
      <w:tab/>
      <w:t>Date Filed</w:t>
    </w:r>
    <w:r>
      <w:rPr>
        <w:sz w:val="18"/>
        <w:u w:val="single"/>
      </w:rPr>
      <w:tab/>
      <w:t>July 9,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2,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29607</w:t>
      <w:tab/>
      <w:tab/>
    </w:r>
    <w:r>
      <w:rPr>
        <w:i/>
        <w:sz w:val="18"/>
      </w:rPr>
      <w:t>Rates &amp; Account Services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sz w:val="18"/>
      </w:rPr>
    </w:pPr>
    <w:r>
      <w:rPr>
        <w:i/>
        <w:sz w:val="18"/>
      </w:rPr>
      <w:t>Advice Letter No.</w:t>
    </w:r>
    <w:r>
      <w:rPr>
        <w:sz w:val="18"/>
      </w:rPr>
      <w:tab/>
      <w:t>2110-G</w:t>
      <w:tab/>
    </w:r>
    <w:r>
      <w:rPr>
        <w:i/>
        <w:sz w:val="18"/>
      </w:rPr>
      <w:t>Issued by</w:t>
      <w:tab/>
      <w:t>Date Filed</w:t>
    </w:r>
    <w:r>
      <w:rPr>
        <w:sz w:val="18"/>
        <w:u w:val="single"/>
      </w:rPr>
      <w:tab/>
      <w:t>October 21, 1998</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sz w:val="18"/>
      </w:rPr>
    </w:pPr>
    <w:r>
      <w:rPr>
        <w:i/>
        <w:sz w:val="18"/>
      </w:rPr>
      <w:t>Decision No.</w:t>
    </w:r>
    <w:r>
      <w:rPr>
        <w:sz w:val="18"/>
      </w:rPr>
      <w:tab/>
      <w:tab/>
    </w:r>
    <w:r>
      <w:rPr>
        <w:b/>
        <w:i/>
        <w:sz w:val="18"/>
      </w:rPr>
      <w:t>Thomas E. Bottorff</w:t>
    </w:r>
    <w:r>
      <w:rPr>
        <w:i/>
        <w:sz w:val="18"/>
      </w:rPr>
      <w:tab/>
      <w:t>Effective</w:t>
    </w:r>
    <w:r>
      <w:rPr>
        <w:sz w:val="18"/>
        <w:u w:val="single"/>
      </w:rPr>
      <w:tab/>
      <w:t>November 30, 1998</w:t>
    </w:r>
  </w:p>
  <w:p>
    <w:pPr>
      <w:pStyle w:val="Normal"/>
      <w:tabs>
        <w:tab w:val="clear" w:pos="432"/>
        <w:tab w:val="left" w:pos="1440" w:leader="none"/>
        <w:tab w:val="center" w:pos="4680" w:leader="none"/>
        <w:tab w:val="left" w:pos="6840" w:leader="none"/>
        <w:tab w:val="right" w:pos="9994" w:leader="none"/>
      </w:tabs>
      <w:spacing w:lineRule="atLeast" w:line="180"/>
      <w:rPr>
        <w:sz w:val="18"/>
      </w:rPr>
    </w:pPr>
    <w:r>
      <w:rPr>
        <w:sz w:val="18"/>
      </w:rPr>
      <w:tab/>
      <w:tab/>
    </w:r>
    <w:r>
      <w:rPr>
        <w:i/>
        <w:sz w:val="18"/>
      </w:rPr>
      <w:t>Vice President</w:t>
      <w:tab/>
      <w:t>Resolution No.</w:t>
    </w:r>
    <w:r>
      <w:rPr>
        <w:sz w:val="18"/>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sz w:val="18"/>
      </w:rPr>
      <w:t>30791</w:t>
      <w:tab/>
      <w:tab/>
    </w:r>
    <w:r>
      <w:rPr>
        <w:i/>
        <w:sz w:val="18"/>
      </w:rPr>
      <w:t>Rates &amp; Account Services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1" name="Frame1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18907-G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18630-G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2">
              <wp:simplePos x="0" y="0"/>
              <wp:positionH relativeFrom="page">
                <wp:posOffset>1005840</wp:posOffset>
              </wp:positionH>
              <wp:positionV relativeFrom="page">
                <wp:posOffset>1097280</wp:posOffset>
              </wp:positionV>
              <wp:extent cx="6400800" cy="8001000"/>
              <wp:effectExtent l="5080" t="5080" r="5080" b="5080"/>
              <wp:wrapNone/>
              <wp:docPr id="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684530" cy="515620"/>
              <wp:effectExtent l="0" t="0" r="0" b="0"/>
              <wp:wrapSquare wrapText="bothSides"/>
              <wp:docPr id="26" name="Frame2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18912-G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18251-G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7">
              <wp:simplePos x="0" y="0"/>
              <wp:positionH relativeFrom="page">
                <wp:posOffset>1005840</wp:posOffset>
              </wp:positionH>
              <wp:positionV relativeFrom="page">
                <wp:posOffset>1097280</wp:posOffset>
              </wp:positionV>
              <wp:extent cx="6400800" cy="8001000"/>
              <wp:effectExtent l="5080" t="5080" r="5080" b="5080"/>
              <wp:wrapNone/>
              <wp:docPr id="2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684530" cy="515620"/>
              <wp:effectExtent l="0" t="0" r="0" b="0"/>
              <wp:wrapSquare wrapText="bothSides"/>
              <wp:docPr id="31" name="Frame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18913-G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18251-G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8">
              <wp:simplePos x="0" y="0"/>
              <wp:positionH relativeFrom="page">
                <wp:posOffset>1005840</wp:posOffset>
              </wp:positionH>
              <wp:positionV relativeFrom="page">
                <wp:posOffset>1097280</wp:posOffset>
              </wp:positionV>
              <wp:extent cx="6400800" cy="8001000"/>
              <wp:effectExtent l="5080" t="5080" r="5080" b="5080"/>
              <wp:wrapNone/>
              <wp:docPr id="3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6">
              <wp:simplePos x="0" y="0"/>
              <wp:positionH relativeFrom="column">
                <wp:align>left</wp:align>
              </wp:positionH>
              <wp:positionV relativeFrom="paragraph">
                <wp:posOffset>635</wp:posOffset>
              </wp:positionV>
              <wp:extent cx="684530" cy="515620"/>
              <wp:effectExtent l="0" t="0" r="0" b="0"/>
              <wp:wrapSquare wrapText="bothSides"/>
              <wp:docPr id="36" name="Frame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7"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18914-G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Original</w:t>
    </w:r>
    <w:r>
      <w:rPr>
        <w:b/>
        <w:sz w:val="18"/>
      </w:rPr>
      <w:tab/>
    </w:r>
    <w:r>
      <w:rPr>
        <w:i/>
        <w:sz w:val="18"/>
      </w:rPr>
      <w:t>Cal. P.U.C. Sheet No.</w:t>
    </w:r>
    <w:r>
      <w:rPr>
        <w:sz w:val="18"/>
      </w:rPr>
      <w:tab/>
      <w:t>18252-G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9">
              <wp:simplePos x="0" y="0"/>
              <wp:positionH relativeFrom="page">
                <wp:posOffset>1005840</wp:posOffset>
              </wp:positionH>
              <wp:positionV relativeFrom="page">
                <wp:posOffset>1097280</wp:posOffset>
              </wp:positionV>
              <wp:extent cx="6400800" cy="8001000"/>
              <wp:effectExtent l="5080" t="5080" r="5080" b="5080"/>
              <wp:wrapNone/>
              <wp:docPr id="3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684530" cy="515620"/>
              <wp:effectExtent l="0" t="0" r="0" b="0"/>
              <wp:wrapSquare wrapText="bothSides"/>
              <wp:docPr id="41" name="Frame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18915-G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18253-G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0">
              <wp:simplePos x="0" y="0"/>
              <wp:positionH relativeFrom="page">
                <wp:posOffset>1005840</wp:posOffset>
              </wp:positionH>
              <wp:positionV relativeFrom="page">
                <wp:posOffset>1097280</wp:posOffset>
              </wp:positionV>
              <wp:extent cx="6400800" cy="8001000"/>
              <wp:effectExtent l="5080" t="5080" r="5080" b="5080"/>
              <wp:wrapNone/>
              <wp:docPr id="4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84530" cy="515620"/>
              <wp:effectExtent l="0" t="0" r="0" b="0"/>
              <wp:wrapSquare wrapText="bothSides"/>
              <wp:docPr id="46" name="Frame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48"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Original</w:t>
      <w:tab/>
    </w:r>
    <w:r>
      <w:rPr>
        <w:i/>
        <w:sz w:val="18"/>
      </w:rPr>
      <w:t>Cal. P.U.C. Sheet No.</w:t>
    </w:r>
    <w:r>
      <w:rPr>
        <w:sz w:val="18"/>
      </w:rPr>
      <w:tab/>
      <w:t>18916-G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tab/>
    </w:r>
    <w:r>
      <w:rPr>
        <w:i/>
        <w:sz w:val="18"/>
      </w:rPr>
      <w:t>Cal. P.U.C. Sheet No.</w:t>
    </w:r>
    <w:r>
      <w:rPr>
        <w:sz w:val="18"/>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1">
              <wp:simplePos x="0" y="0"/>
              <wp:positionH relativeFrom="page">
                <wp:posOffset>1005840</wp:posOffset>
              </wp:positionH>
              <wp:positionV relativeFrom="page">
                <wp:posOffset>1097280</wp:posOffset>
              </wp:positionV>
              <wp:extent cx="6400800" cy="8001000"/>
              <wp:effectExtent l="5080" t="5080" r="5080" b="5080"/>
              <wp:wrapNone/>
              <wp:docPr id="4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1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18908-G*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18630,    </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3">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t>18999-G</w:t>
    </w:r>
    <w:r>
      <w:rPr>
        <w:color w:val="FFFFFF"/>
        <w:sz w:val="18"/>
      </w:rPr>
      <w:t>*</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84530" cy="515620"/>
              <wp:effectExtent l="0" t="0" r="0" b="0"/>
              <wp:wrapSquare wrapText="bothSides"/>
              <wp:docPr id="51" name="Frame2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Original</w:t>
    </w:r>
    <w:r>
      <w:rPr>
        <w:b/>
        <w:sz w:val="18"/>
      </w:rPr>
      <w:tab/>
    </w:r>
    <w:r>
      <w:rPr>
        <w:i/>
        <w:sz w:val="18"/>
      </w:rPr>
      <w:t>Cal. P.U.C. Sheet No.</w:t>
    </w:r>
    <w:r>
      <w:rPr>
        <w:sz w:val="18"/>
      </w:rPr>
      <w:tab/>
      <w:t>18254-G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2">
              <wp:simplePos x="0" y="0"/>
              <wp:positionH relativeFrom="page">
                <wp:posOffset>1005840</wp:posOffset>
              </wp:positionH>
              <wp:positionV relativeFrom="page">
                <wp:posOffset>1097280</wp:posOffset>
              </wp:positionV>
              <wp:extent cx="6400800" cy="8001000"/>
              <wp:effectExtent l="5080" t="5080" r="5080" b="5080"/>
              <wp:wrapNone/>
              <wp:docPr id="5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4">
              <wp:simplePos x="0" y="0"/>
              <wp:positionH relativeFrom="column">
                <wp:align>left</wp:align>
              </wp:positionH>
              <wp:positionV relativeFrom="paragraph">
                <wp:posOffset>635</wp:posOffset>
              </wp:positionV>
              <wp:extent cx="684530" cy="515620"/>
              <wp:effectExtent l="0" t="0" r="0" b="0"/>
              <wp:wrapSquare wrapText="bothSides"/>
              <wp:docPr id="56"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58"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18918-G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Original</w:t>
    </w:r>
    <w:r>
      <w:rPr>
        <w:b/>
        <w:sz w:val="18"/>
      </w:rPr>
      <w:tab/>
    </w:r>
    <w:r>
      <w:rPr>
        <w:i/>
        <w:sz w:val="18"/>
      </w:rPr>
      <w:t>Cal. P.U.C. Sheet No.</w:t>
    </w:r>
    <w:r>
      <w:rPr>
        <w:sz w:val="18"/>
      </w:rPr>
      <w:tab/>
      <w:t>18255-G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3">
              <wp:simplePos x="0" y="0"/>
              <wp:positionH relativeFrom="page">
                <wp:posOffset>1005840</wp:posOffset>
              </wp:positionH>
              <wp:positionV relativeFrom="page">
                <wp:posOffset>1097280</wp:posOffset>
              </wp:positionV>
              <wp:extent cx="6400800" cy="8001000"/>
              <wp:effectExtent l="5080" t="5080" r="5080" b="5080"/>
              <wp:wrapNone/>
              <wp:docPr id="5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6">
              <wp:simplePos x="0" y="0"/>
              <wp:positionH relativeFrom="column">
                <wp:align>left</wp:align>
              </wp:positionH>
              <wp:positionV relativeFrom="paragraph">
                <wp:posOffset>635</wp:posOffset>
              </wp:positionV>
              <wp:extent cx="684530" cy="515620"/>
              <wp:effectExtent l="0" t="0" r="0" b="0"/>
              <wp:wrapSquare wrapText="bothSides"/>
              <wp:docPr id="61"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18256-G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16135-G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4">
              <wp:simplePos x="0" y="0"/>
              <wp:positionH relativeFrom="page">
                <wp:posOffset>1005840</wp:posOffset>
              </wp:positionH>
              <wp:positionV relativeFrom="page">
                <wp:posOffset>1097280</wp:posOffset>
              </wp:positionV>
              <wp:extent cx="6400800" cy="8001000"/>
              <wp:effectExtent l="5080" t="5080" r="5080" b="5080"/>
              <wp:wrapNone/>
              <wp:docPr id="6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28">
              <wp:simplePos x="0" y="0"/>
              <wp:positionH relativeFrom="column">
                <wp:align>left</wp:align>
              </wp:positionH>
              <wp:positionV relativeFrom="paragraph">
                <wp:posOffset>635</wp:posOffset>
              </wp:positionV>
              <wp:extent cx="684530" cy="515620"/>
              <wp:effectExtent l="0" t="0" r="0" b="0"/>
              <wp:wrapSquare wrapText="bothSides"/>
              <wp:docPr id="66"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68"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18257-G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16136-G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5">
              <wp:simplePos x="0" y="0"/>
              <wp:positionH relativeFrom="page">
                <wp:posOffset>1005840</wp:posOffset>
              </wp:positionH>
              <wp:positionV relativeFrom="page">
                <wp:posOffset>1097280</wp:posOffset>
              </wp:positionV>
              <wp:extent cx="6400800" cy="8001000"/>
              <wp:effectExtent l="5080" t="5080" r="5080" b="5080"/>
              <wp:wrapNone/>
              <wp:docPr id="6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30">
              <wp:simplePos x="0" y="0"/>
              <wp:positionH relativeFrom="column">
                <wp:align>left</wp:align>
              </wp:positionH>
              <wp:positionV relativeFrom="paragraph">
                <wp:posOffset>635</wp:posOffset>
              </wp:positionV>
              <wp:extent cx="684530" cy="515620"/>
              <wp:effectExtent l="0" t="0" r="0" b="0"/>
              <wp:wrapSquare wrapText="bothSides"/>
              <wp:docPr id="71"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73"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18258-G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16137,   </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46">
              <wp:simplePos x="0" y="0"/>
              <wp:positionH relativeFrom="page">
                <wp:posOffset>1005840</wp:posOffset>
              </wp:positionH>
              <wp:positionV relativeFrom="page">
                <wp:posOffset>1097280</wp:posOffset>
              </wp:positionV>
              <wp:extent cx="6400800" cy="8001000"/>
              <wp:effectExtent l="5080" t="5080" r="5080" b="5080"/>
              <wp:wrapNone/>
              <wp:docPr id="7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t>17711-G</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11" name="Frame1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18909-G**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18631,      </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4">
              <wp:simplePos x="0" y="0"/>
              <wp:positionH relativeFrom="page">
                <wp:posOffset>1005840</wp:posOffset>
              </wp:positionH>
              <wp:positionV relativeFrom="page">
                <wp:posOffset>1097280</wp:posOffset>
              </wp:positionV>
              <wp:extent cx="6400800" cy="8001000"/>
              <wp:effectExtent l="5080" t="5080" r="5080" b="5080"/>
              <wp:wrapNone/>
              <wp:docPr id="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t>18900-G</w:t>
    </w:r>
    <w:r>
      <w:rPr>
        <w:color w:val="FFFFFF"/>
        <w:sz w:val="18"/>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84530" cy="515620"/>
              <wp:effectExtent l="0" t="0" r="0" b="0"/>
              <wp:wrapSquare wrapText="bothSides"/>
              <wp:docPr id="16" name="Frame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18910-G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Revised</w:t>
    </w:r>
    <w:r>
      <w:rPr>
        <w:b/>
        <w:sz w:val="18"/>
      </w:rPr>
      <w:tab/>
    </w:r>
    <w:r>
      <w:rPr>
        <w:i/>
        <w:sz w:val="18"/>
      </w:rPr>
      <w:t>Cal. P.U.C. Sheet No.</w:t>
    </w:r>
    <w:r>
      <w:rPr>
        <w:sz w:val="18"/>
      </w:rPr>
      <w:tab/>
      <w:t>18250-G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5">
              <wp:simplePos x="0" y="0"/>
              <wp:positionH relativeFrom="page">
                <wp:posOffset>1005840</wp:posOffset>
              </wp:positionH>
              <wp:positionV relativeFrom="page">
                <wp:posOffset>1097280</wp:posOffset>
              </wp:positionV>
              <wp:extent cx="6400800" cy="8001000"/>
              <wp:effectExtent l="5080" t="5080" r="5080" b="5080"/>
              <wp:wrapNone/>
              <wp:docPr id="1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sz w:val="18"/>
      </w:rPr>
    </w:pPr>
    <w:r>
      <w:rPr>
        <w:sz w:val="18"/>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21" name="Frame1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sz w:val="18"/>
      </w:rPr>
      <w:tab/>
    </w:r>
    <w:r>
      <w:rPr>
        <w:sz w:val="18"/>
      </w:rPr>
      <w:tab/>
      <w:t>Revised</w:t>
      <w:tab/>
    </w:r>
    <w:r>
      <w:rPr>
        <w:i/>
        <w:sz w:val="18"/>
      </w:rPr>
      <w:t>Cal. P.U.C. Sheet No.</w:t>
    </w:r>
    <w:r>
      <w:rPr>
        <w:sz w:val="18"/>
      </w:rPr>
      <w:tab/>
      <w:t>19089-G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sz w:val="18"/>
      </w:rPr>
      <w:t>Pacific Gas and Electric Company</w:t>
    </w:r>
    <w:r>
      <w:rPr>
        <w:b/>
        <w:sz w:val="18"/>
      </w:rPr>
      <w:tab/>
    </w:r>
    <w:r>
      <w:rPr>
        <w:i/>
        <w:sz w:val="18"/>
      </w:rPr>
      <w:t>Cancelling</w:t>
    </w:r>
    <w:r>
      <w:rPr>
        <w:b/>
        <w:sz w:val="18"/>
      </w:rPr>
      <w:tab/>
    </w:r>
    <w:r>
      <w:rPr>
        <w:sz w:val="18"/>
      </w:rPr>
      <w:t>Original</w:t>
    </w:r>
    <w:r>
      <w:rPr>
        <w:b/>
        <w:sz w:val="18"/>
      </w:rPr>
      <w:tab/>
    </w:r>
    <w:r>
      <w:rPr>
        <w:i/>
        <w:sz w:val="18"/>
      </w:rPr>
      <w:t>Cal. P.U.C. Sheet No.</w:t>
    </w:r>
    <w:r>
      <w:rPr>
        <w:sz w:val="18"/>
      </w:rPr>
      <w:tab/>
      <w:t>18954-G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36">
              <wp:simplePos x="0" y="0"/>
              <wp:positionH relativeFrom="page">
                <wp:posOffset>1005840</wp:posOffset>
              </wp:positionH>
              <wp:positionV relativeFrom="page">
                <wp:posOffset>1097280</wp:posOffset>
              </wp:positionV>
              <wp:extent cx="6400800" cy="8001000"/>
              <wp:effectExtent l="5080" t="5080" r="5080" b="5080"/>
              <wp:wrapNone/>
              <wp:docPr id="2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sz w:val="18"/>
      </w:rPr>
      <w:t>San Francisco, California</w:t>
    </w:r>
    <w:r>
      <w:rPr>
        <w:sz w:val="18"/>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22"/>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22"/>
        <w:i w:val="false"/>
        <w:b w:val="false"/>
        <w:rFonts w:ascii="Helvetica" w:hAnsi="Helvetica" w:cs="Helvetica"/>
      </w:rPr>
    </w:lvl>
    <w:lvl w:ilvl="2">
      <w:start w:val="1"/>
      <w:pStyle w:val="Heading3"/>
      <w:numFmt w:val="lowerLetter"/>
      <w:lvlText w:val="%3."/>
      <w:lvlJc w:val="start"/>
      <w:pPr>
        <w:tabs>
          <w:tab w:val="num" w:pos="432"/>
        </w:tabs>
        <w:ind w:start="1296" w:hanging="432"/>
      </w:pPr>
      <w:rPr>
        <w:sz w:val="22"/>
        <w:i w:val="false"/>
        <w:b w:val="false"/>
        <w:rFonts w:ascii="Helvetica" w:hAnsi="Helvetica" w:cs="Helvetica"/>
      </w:rPr>
    </w:lvl>
    <w:lvl w:ilvl="3">
      <w:start w:val="1"/>
      <w:pStyle w:val="Heading4"/>
      <w:numFmt w:val="decimal"/>
      <w:lvlText w:val="%4)"/>
      <w:lvlJc w:val="start"/>
      <w:pPr>
        <w:tabs>
          <w:tab w:val="num" w:pos="432"/>
        </w:tabs>
        <w:ind w:start="1728" w:hanging="432"/>
      </w:pPr>
      <w:rPr>
        <w:sz w:val="22"/>
        <w:i w:val="false"/>
        <w:b w:val="false"/>
        <w:rFonts w:ascii="Helvetica" w:hAnsi="Helvetica" w:cs="Helvetica"/>
      </w:rPr>
    </w:lvl>
    <w:lvl w:ilvl="4">
      <w:start w:val="1"/>
      <w:pStyle w:val="Heading5"/>
      <w:numFmt w:val="lowerLetter"/>
      <w:lvlText w:val="%5)"/>
      <w:lvlJc w:val="start"/>
      <w:pPr>
        <w:tabs>
          <w:tab w:val="num" w:pos="432"/>
        </w:tabs>
        <w:ind w:start="2160" w:hanging="432"/>
      </w:pPr>
      <w:rPr>
        <w:sz w:val="22"/>
        <w:i w:val="false"/>
        <w:b w:val="false"/>
        <w:rFonts w:ascii="Helvetica" w:hAnsi="Helvetica" w:cs="Helvetica"/>
      </w:rPr>
    </w:lvl>
    <w:lvl w:ilvl="5">
      <w:start w:val="1"/>
      <w:pStyle w:val="Heading6"/>
      <w:numFmt w:val="decimal"/>
      <w:lvlText w:val="(%6)"/>
      <w:lvlJc w:val="start"/>
      <w:pPr>
        <w:tabs>
          <w:tab w:val="num" w:pos="432"/>
        </w:tabs>
        <w:ind w:start="2592" w:hanging="432"/>
      </w:pPr>
      <w:rPr>
        <w:sz w:val="22"/>
        <w:i w:val="false"/>
        <w:b w:val="false"/>
        <w:rFonts w:ascii="Helvetica" w:hAnsi="Helvetica" w:cs="Helvetica"/>
      </w:rPr>
    </w:lvl>
    <w:lvl w:ilvl="6">
      <w:start w:val="1"/>
      <w:pStyle w:val="Heading7"/>
      <w:numFmt w:val="lowerLetter"/>
      <w:lvlText w:val="(%7)"/>
      <w:lvlJc w:val="start"/>
      <w:pPr>
        <w:tabs>
          <w:tab w:val="num" w:pos="432"/>
        </w:tabs>
        <w:ind w:start="3024" w:hanging="432"/>
      </w:pPr>
      <w:rPr>
        <w:sz w:val="22"/>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abstractNum w:abstractNumId="2">
    <w:lvl w:ilvl="0">
      <w:numFmt w:val="bullet"/>
      <w:lvlText w:val=""/>
      <w:lvlJc w:val="start"/>
      <w:pPr>
        <w:tabs>
          <w:tab w:val="num" w:pos="360"/>
        </w:tabs>
        <w:ind w:start="1656"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432"/>
  <w:autoHyphenation w:val="true"/>
  <w:hyphenationZone w:val="0"/>
  <w:compat>
    <w:usePrinterMetrics/>
    <w:compatSetting w:name="compatibilityMode" w:uri="http://schemas.microsoft.com/office/word" w:val="11"/>
  </w:compat>
  <w:docVars>
    <w:docVar w:name="DATASET" w:val="WPU1"/>
    <w:docVar w:name="DOCNAME" w:val="Rule 21 -- Transportation of Natural Gas"/>
    <w:docVar w:name="DOCNUM" w:val="29604"/>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4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0" w:start="0" w:end="677"/>
      <w:outlineLvl w:val="0"/>
    </w:pPr>
    <w:rPr>
      <w:caps/>
    </w:rPr>
  </w:style>
  <w:style w:type="paragraph" w:styleId="Heading2">
    <w:name w:val="heading 2"/>
    <w:basedOn w:val="Heading1"/>
    <w:next w:val="Heading3"/>
    <w:qFormat/>
    <w:pPr>
      <w:keepNext w:val="false"/>
      <w:numPr>
        <w:ilvl w:val="1"/>
        <w:numId w:val="1"/>
      </w:numPr>
      <w:outlineLvl w:val="1"/>
    </w:pPr>
    <w:rPr>
      <w:caps w:val="false"/>
      <w:smallCaps w:val="false"/>
    </w:rPr>
  </w:style>
  <w:style w:type="paragraph" w:styleId="Heading3">
    <w:name w:val="heading 3"/>
    <w:basedOn w:val="Heading1"/>
    <w:next w:val="Normal"/>
    <w:qFormat/>
    <w:pPr>
      <w:keepNext w:val="false"/>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outlineLvl w:val="8"/>
    </w:pPr>
    <w:rPr>
      <w:u w:val="single"/>
    </w:rPr>
  </w:style>
  <w:style w:type="character" w:styleId="WW8Num1z0">
    <w:name w:val="WW8Num1z0"/>
    <w:qFormat/>
    <w:rPr>
      <w:rFonts w:ascii="Helvetica" w:hAnsi="Helvetica" w:cs="Helvetica"/>
      <w:b w:val="false"/>
      <w:i w:val="false"/>
      <w:sz w:val="22"/>
    </w:rPr>
  </w:style>
  <w:style w:type="character" w:styleId="WW8Num1z1">
    <w:name w:val="WW8Num1z1"/>
    <w:qFormat/>
    <w:rPr>
      <w:rFonts w:ascii="Helvetica" w:hAnsi="Helvetica" w:cs="Helvetica"/>
      <w:b w:val="false"/>
      <w:i w:val="false"/>
      <w:strike w:val="false"/>
      <w:dstrike w:val="false"/>
      <w:sz w:val="22"/>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Footer">
    <w:name w:val="footer"/>
    <w:basedOn w:val="Normal"/>
    <w:pPr>
      <w:tabs>
        <w:tab w:val="clear" w:pos="432"/>
        <w:tab w:val="center" w:pos="4320" w:leader="none"/>
        <w:tab w:val="right" w:pos="8640" w:leader="none"/>
      </w:tabs>
    </w:pPr>
    <w:rPr/>
  </w:style>
  <w:style w:type="paragraph" w:styleId="EditNotations">
    <w:name w:val="Edit Notations"/>
    <w:basedOn w:val="RuleBody"/>
    <w:qFormat/>
    <w:pPr>
      <w:spacing w:before="0" w:after="0"/>
      <w:jc w:val="center"/>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RuleTitle">
    <w:name w:val="Rule Title"/>
    <w:basedOn w:val="Normal"/>
    <w:qFormat/>
    <w:pPr>
      <w:spacing w:lineRule="exact" w:line="240" w:before="0" w:after="240"/>
      <w:jc w:val="center"/>
    </w:pPr>
    <w:rPr>
      <w:u w:val="single"/>
    </w:rPr>
  </w:style>
  <w:style w:type="paragraph" w:styleId="FootnoteText">
    <w:name w:val="footnote text"/>
    <w:basedOn w:val="Normal"/>
    <w:pPr>
      <w:spacing w:before="0" w:after="220"/>
      <w:ind w:hanging="432" w:start="432" w:end="0"/>
    </w:pPr>
    <w:rPr/>
  </w:style>
  <w:style w:type="paragraph" w:styleId="Quote">
    <w:name w:val="Quote"/>
    <w:basedOn w:val="RuleBody"/>
    <w:qFormat/>
    <w:pPr>
      <w:ind w:hanging="0" w:start="864" w:end="864"/>
    </w:pPr>
    <w:rPr>
      <w:lang w:val="en-US"/>
    </w:rPr>
  </w:style>
  <w:style w:type="paragraph" w:styleId="Table">
    <w:name w:val="Table"/>
    <w:basedOn w:val="Normal"/>
    <w:qFormat/>
    <w:pPr>
      <w:spacing w:lineRule="exact" w:line="240"/>
    </w:pPr>
    <w:rPr/>
  </w:style>
  <w:style w:type="paragraph" w:styleId="EditNotation">
    <w:name w:val="Edit Notation"/>
    <w:basedOn w:val="Normal"/>
    <w:qFormat/>
    <w:pPr>
      <w:spacing w:lineRule="exact" w:line="200"/>
      <w:jc w:val="center"/>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2000-06-28T16:40:00Z</dcterms:created>
  <dc:creator>Jim Coughenour</dc:creator>
  <dc:description/>
  <dc:language>en-CA</dc:language>
  <cp:lastModifiedBy>Susan Scott</cp:lastModifiedBy>
  <cp:lastPrinted>1999-07-20T16:04:00Z</cp:lastPrinted>
  <dcterms:modified xsi:type="dcterms:W3CDTF">2000-06-28T16:40:00Z</dcterms:modified>
  <cp:revision>2</cp:revision>
  <dc:subject/>
  <dc:title>RULE NO. —TITLE(Continued)	</dc:title>
</cp:coreProperties>
</file>