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PG&amp;E is proposing to end the rate freeze to California consumers retroactively to August 1, 2000.  Under PG&amp;E’s proposal PG&amp;E intends to minimize its shareholder risks by passing those risks onto ratepayers, even though PG&amp;E has recovered $3.9 billion towards CTCs from artificially higher frozen rates through July 31, 2000.  In addition, PG&amp;E potentially stands to gain significant windfalls under their proposal.  PG&amp;E’s hydro settlement proposal would result in windfalls from 10% of the net profits from the hydro assets, in addition to earning a guaranteed regulated return on the deemed value of the hydro assets.  The hydro windfalls will result from an artificially low valuation  that guarantees that market revenues from the hydro assets will exceed the annual hydro revenue requirement.  PG&amp;E will also see windfalls from Diablo Canyon, because the high market revenues overwhelmingly exceed the operating costs of the nuclear asset during these high market prices and the sunk costs will have been paid off.   PG&amp;E is deceiving the public by withholding many of these facts and other facts.  PG&amp;E has a track record of manipulating the facts to dupe the public for its own self-interests.  In light of PG&amp;E’s behavior over the past two years, to provide PG&amp;E with such benefits to the detriment of California consumers would be reprehensible.</w:t>
      </w:r>
    </w:p>
    <w:p>
      <w:pPr>
        <w:pStyle w:val="Normal"/>
        <w:rPr/>
      </w:pPr>
      <w:r>
        <w:rPr/>
      </w:r>
    </w:p>
    <w:p>
      <w:pPr>
        <w:pStyle w:val="Heading1"/>
        <w:ind w:hanging="0" w:start="0"/>
        <w:rPr/>
      </w:pPr>
      <w:r>
        <w:rPr/>
        <w:t>PG&amp;E WINDFALLS FROM AN EARLY END TO THE RATE FREEZE</w:t>
      </w:r>
    </w:p>
    <w:p>
      <w:pPr>
        <w:pStyle w:val="Normal"/>
        <w:rPr/>
      </w:pPr>
      <w:r>
        <w:rPr/>
      </w:r>
    </w:p>
    <w:p>
      <w:pPr>
        <w:pStyle w:val="Normal"/>
        <w:rPr/>
      </w:pPr>
      <w:r>
        <w:rPr/>
        <w:t>By ending the rate freeze on July 31, 2000 PG&amp;E:</w:t>
      </w:r>
    </w:p>
    <w:p>
      <w:pPr>
        <w:pStyle w:val="Normal"/>
        <w:rPr/>
      </w:pPr>
      <w:r>
        <w:rPr/>
      </w:r>
    </w:p>
    <w:p>
      <w:pPr>
        <w:pStyle w:val="Normal"/>
        <w:numPr>
          <w:ilvl w:val="0"/>
          <w:numId w:val="4"/>
        </w:numPr>
        <w:rPr/>
      </w:pPr>
      <w:r>
        <w:rPr/>
        <w:t>Recovers $3.9 billion from ratepayers through the artificially higher frozen rates from January 1, 1998 through July 31, 2000;</w:t>
      </w:r>
    </w:p>
    <w:p>
      <w:pPr>
        <w:pStyle w:val="Normal"/>
        <w:numPr>
          <w:ilvl w:val="0"/>
          <w:numId w:val="4"/>
        </w:numPr>
        <w:rPr/>
      </w:pPr>
      <w:r>
        <w:rPr/>
        <w:t>Earn over $300 million in additional revenues above its nuclear incentive payments for August 1, 2000 through December 31, 2000, for Diablo Canyon;</w:t>
      </w:r>
    </w:p>
    <w:p>
      <w:pPr>
        <w:pStyle w:val="Normal"/>
        <w:numPr>
          <w:ilvl w:val="0"/>
          <w:numId w:val="4"/>
        </w:numPr>
        <w:rPr/>
      </w:pPr>
      <w:r>
        <w:rPr/>
        <w:t>Earn over $650 million in additional revenues above its nuclear incentive payments in 2001 for Diablo Canyon;</w:t>
      </w:r>
    </w:p>
    <w:p>
      <w:pPr>
        <w:pStyle w:val="Normal"/>
        <w:numPr>
          <w:ilvl w:val="0"/>
          <w:numId w:val="4"/>
        </w:numPr>
        <w:rPr/>
      </w:pPr>
      <w:r>
        <w:rPr/>
        <w:t>Earn substantial windfalls for perpetuity based on PG&amp;E’s proposed hydro settlement, when the hydro assets will net an almost an estimated billion dollars in 2000 and 2001; and</w:t>
      </w:r>
    </w:p>
    <w:p>
      <w:pPr>
        <w:pStyle w:val="Normal"/>
        <w:numPr>
          <w:ilvl w:val="0"/>
          <w:numId w:val="4"/>
        </w:numPr>
        <w:rPr/>
      </w:pPr>
      <w:r>
        <w:rPr/>
        <w:t>Will most likely seek to recover the $1.2 billion in Transition Revenue Account undercollection on July 31, 2000.</w:t>
      </w:r>
    </w:p>
    <w:p>
      <w:pPr>
        <w:pStyle w:val="Normal"/>
        <w:rPr/>
      </w:pPr>
      <w:r>
        <w:rPr/>
      </w:r>
    </w:p>
    <w:p>
      <w:pPr>
        <w:pStyle w:val="Normal"/>
        <w:rPr/>
      </w:pPr>
      <w:r>
        <w:rPr/>
        <w:t>There many other ramifications and potential benefits to PG&amp;E and consequences on ratepayers that have not been identified. The rate freeze should not end early without full examination in light of the current market conditions and the potential detrimental impacts on California.</w:t>
      </w:r>
    </w:p>
    <w:p>
      <w:pPr>
        <w:pStyle w:val="Normal"/>
        <w:rPr/>
      </w:pPr>
      <w:r>
        <w:rPr/>
      </w:r>
    </w:p>
    <w:p>
      <w:pPr>
        <w:pStyle w:val="Heading1"/>
        <w:ind w:hanging="0" w:start="0"/>
        <w:rPr/>
      </w:pPr>
      <w:r>
        <w:rPr/>
        <w:t>PG&amp;E BEHAVIOR</w:t>
      </w:r>
    </w:p>
    <w:p>
      <w:pPr>
        <w:pStyle w:val="Normal"/>
        <w:rPr/>
      </w:pPr>
      <w:r>
        <w:rPr/>
      </w:r>
    </w:p>
    <w:p>
      <w:pPr>
        <w:pStyle w:val="Normal"/>
        <w:rPr/>
      </w:pPr>
      <w:r>
        <w:rPr/>
        <w:t>PG&amp;E has and continues to irresponsibly misinform the public in favor of its own myopic self-interests.  The following are examples of such behavior:</w:t>
      </w:r>
    </w:p>
    <w:p>
      <w:pPr>
        <w:pStyle w:val="Normal"/>
        <w:rPr/>
      </w:pPr>
      <w:r>
        <w:rPr/>
      </w:r>
    </w:p>
    <w:p>
      <w:pPr>
        <w:pStyle w:val="Normal"/>
        <w:numPr>
          <w:ilvl w:val="0"/>
          <w:numId w:val="2"/>
        </w:numPr>
        <w:tabs>
          <w:tab w:val="clear" w:pos="720"/>
          <w:tab w:val="left" w:pos="405" w:leader="none"/>
        </w:tabs>
        <w:ind w:hanging="360" w:start="405" w:end="0"/>
        <w:rPr/>
      </w:pPr>
      <w:r>
        <w:rPr/>
        <w:t>PG&amp;E has not been a strong advocate of minimizing Reliability Must Run liabilities, cost shifting from other utilities joining the ISO, and other restructuring related costs, when PG&amp;E had thought it would over-recover CTC revenue;</w:t>
      </w:r>
    </w:p>
    <w:p>
      <w:pPr>
        <w:pStyle w:val="Normal"/>
        <w:numPr>
          <w:ilvl w:val="0"/>
          <w:numId w:val="2"/>
        </w:numPr>
        <w:tabs>
          <w:tab w:val="clear" w:pos="720"/>
          <w:tab w:val="left" w:pos="405" w:leader="none"/>
        </w:tabs>
        <w:ind w:hanging="360" w:start="405" w:end="0"/>
        <w:rPr/>
      </w:pPr>
      <w:r>
        <w:rPr/>
        <w:t>PG&amp;E has filed at FERC for more than four transmission rate increases in the past two and one-half years, thereby reducing CTC headroom;</w:t>
      </w:r>
    </w:p>
    <w:p>
      <w:pPr>
        <w:pStyle w:val="Normal"/>
        <w:numPr>
          <w:ilvl w:val="0"/>
          <w:numId w:val="2"/>
        </w:numPr>
        <w:tabs>
          <w:tab w:val="clear" w:pos="720"/>
          <w:tab w:val="left" w:pos="405" w:leader="none"/>
        </w:tabs>
        <w:ind w:hanging="360" w:start="405" w:end="0"/>
        <w:rPr/>
      </w:pPr>
      <w:r>
        <w:rPr/>
        <w:t>PG&amp;E had filed at the CPUC and received a significant increase in its distribution rates in its 1999 GRC, thereby reducing CTC headroom;</w:t>
      </w:r>
    </w:p>
    <w:p>
      <w:pPr>
        <w:pStyle w:val="Normal"/>
        <w:numPr>
          <w:ilvl w:val="0"/>
          <w:numId w:val="2"/>
        </w:numPr>
        <w:tabs>
          <w:tab w:val="clear" w:pos="720"/>
          <w:tab w:val="left" w:pos="405" w:leader="none"/>
        </w:tabs>
        <w:ind w:hanging="360" w:start="405" w:end="0"/>
        <w:rPr/>
      </w:pPr>
      <w:r>
        <w:rPr/>
        <w:t>PG&amp;E has also filed at the CPUC increases in distribution rates for 2000 and 2001 for increases in cost of capital and attrition, thereby reducing CTC headroom;</w:t>
      </w:r>
    </w:p>
    <w:p>
      <w:pPr>
        <w:pStyle w:val="Normal"/>
        <w:numPr>
          <w:ilvl w:val="0"/>
          <w:numId w:val="2"/>
        </w:numPr>
        <w:tabs>
          <w:tab w:val="clear" w:pos="720"/>
          <w:tab w:val="left" w:pos="405" w:leader="none"/>
        </w:tabs>
        <w:ind w:hanging="360" w:start="405" w:end="0"/>
        <w:rPr/>
      </w:pPr>
      <w:r>
        <w:rPr/>
        <w:t>PG&amp;E communicated to customers and regulators about expected significant decreases in order to rationalize its distribution rate increase versus properly educating the public of the potential benefits and risks during its 1999 GRC campaign, thereby incentivizing customers to remain a Standard Offer customer in lieu of electing Direct Access;</w:t>
      </w:r>
    </w:p>
    <w:p>
      <w:pPr>
        <w:pStyle w:val="Normal"/>
        <w:numPr>
          <w:ilvl w:val="0"/>
          <w:numId w:val="2"/>
        </w:numPr>
        <w:tabs>
          <w:tab w:val="clear" w:pos="720"/>
          <w:tab w:val="left" w:pos="405" w:leader="none"/>
        </w:tabs>
        <w:ind w:hanging="360" w:start="405" w:end="0"/>
        <w:rPr/>
      </w:pPr>
      <w:r>
        <w:rPr/>
        <w:t>PG&amp;E had purposely never shown a scenario that the freeze would end before January 1, 2001, in its matrix identifying different possible ends to the rate freeze filed at the CPUC, because PG&amp;E would not show a hydro value credited before January 1, 2001;</w:t>
      </w:r>
    </w:p>
    <w:p>
      <w:pPr>
        <w:pStyle w:val="Normal"/>
        <w:numPr>
          <w:ilvl w:val="0"/>
          <w:numId w:val="2"/>
        </w:numPr>
        <w:tabs>
          <w:tab w:val="clear" w:pos="720"/>
          <w:tab w:val="left" w:pos="405" w:leader="none"/>
        </w:tabs>
        <w:ind w:hanging="360" w:start="405" w:end="0"/>
        <w:rPr/>
      </w:pPr>
      <w:r>
        <w:rPr/>
        <w:t>PG&amp;E also disputed the argument that an interim hydro valuation could end the rate freeze early when PG&amp;E thought it would over-recover CTC revenue, which resulted in a CPUC decision in the 1999 Annual Transition Cost Proceeding that did not order an end to the rate freeze based on an interim valuation;</w:t>
      </w:r>
    </w:p>
    <w:p>
      <w:pPr>
        <w:pStyle w:val="Normal"/>
        <w:numPr>
          <w:ilvl w:val="0"/>
          <w:numId w:val="2"/>
        </w:numPr>
        <w:tabs>
          <w:tab w:val="clear" w:pos="720"/>
          <w:tab w:val="left" w:pos="405" w:leader="none"/>
        </w:tabs>
        <w:ind w:hanging="360" w:start="405" w:end="0"/>
        <w:rPr/>
      </w:pPr>
      <w:r>
        <w:rPr/>
        <w:t>PG&amp;E provided no notice that the rate-freeze might be ending as required by the decision in the Post-Transition Ratemaking proceeding;</w:t>
      </w:r>
    </w:p>
    <w:p>
      <w:pPr>
        <w:pStyle w:val="Normal"/>
        <w:numPr>
          <w:ilvl w:val="0"/>
          <w:numId w:val="2"/>
        </w:numPr>
        <w:tabs>
          <w:tab w:val="clear" w:pos="720"/>
          <w:tab w:val="left" w:pos="405" w:leader="none"/>
        </w:tabs>
        <w:ind w:hanging="360" w:start="405" w:end="0"/>
        <w:rPr/>
      </w:pPr>
      <w:r>
        <w:rPr/>
        <w:t>PG&amp;E has not disclosed how much its unregulated affiliates have earned and stand to earn from any hedges or investments acting as hedges to the holding company’s utility position; and</w:t>
      </w:r>
    </w:p>
    <w:p>
      <w:pPr>
        <w:pStyle w:val="Normal"/>
        <w:numPr>
          <w:ilvl w:val="0"/>
          <w:numId w:val="2"/>
        </w:numPr>
        <w:tabs>
          <w:tab w:val="clear" w:pos="720"/>
          <w:tab w:val="left" w:pos="405" w:leader="none"/>
        </w:tabs>
        <w:ind w:hanging="360" w:start="405" w:end="0"/>
        <w:rPr/>
      </w:pPr>
      <w:r>
        <w:rPr/>
        <w:t>PG&amp;E has not discussed how the hydro assets and Diablo Canyon will result in significant windfalls over the next few years under PG&amp;E’s proposal, which under an alternate proposal could offset high energy prices over the next year while maintaining frozen rates;</w:t>
      </w:r>
    </w:p>
    <w:p>
      <w:pPr>
        <w:pStyle w:val="Normal"/>
        <w:numPr>
          <w:ilvl w:val="0"/>
          <w:numId w:val="2"/>
        </w:numPr>
        <w:tabs>
          <w:tab w:val="clear" w:pos="720"/>
          <w:tab w:val="left" w:pos="405" w:leader="none"/>
        </w:tabs>
        <w:ind w:hanging="360" w:start="405" w:end="0"/>
        <w:rPr/>
      </w:pPr>
      <w:r>
        <w:rPr/>
        <w:t>PG&amp;E made the business decision to divest more than required by law of its fossil and geothermal assets early in the deregulated market without requesting authority to hedge its shorter utility position; and</w:t>
      </w:r>
    </w:p>
    <w:p>
      <w:pPr>
        <w:pStyle w:val="Normal"/>
        <w:numPr>
          <w:ilvl w:val="0"/>
          <w:numId w:val="2"/>
        </w:numPr>
        <w:tabs>
          <w:tab w:val="clear" w:pos="720"/>
          <w:tab w:val="left" w:pos="405" w:leader="none"/>
        </w:tabs>
        <w:ind w:hanging="360" w:start="405" w:end="0"/>
        <w:rPr/>
      </w:pPr>
      <w:r>
        <w:rPr/>
        <w:t>PG&amp;E proposes to end the rate freeze retroactively now that it is worried that it will under-recover CTC revenue without any regard to California consumers, despite its recovery of CTCs.</w:t>
      </w:r>
    </w:p>
    <w:p>
      <w:pPr>
        <w:pStyle w:val="Normal"/>
        <w:rPr/>
      </w:pPr>
      <w:r>
        <w:rPr/>
      </w:r>
    </w:p>
    <w:p>
      <w:pPr>
        <w:pStyle w:val="Normal"/>
        <w:rPr/>
      </w:pPr>
      <w:r>
        <w:rPr/>
        <w:t>PG&amp;E has consistently demonstrated a lack of good business sense and questionable business ethics.  California consumers can not be expected to continuously protect PG&amp;E without cooperation from PG&amp;E to serve the best interests of California consumers through a compromise solution.</w:t>
      </w:r>
    </w:p>
    <w:p>
      <w:pPr>
        <w:pStyle w:val="Normal"/>
        <w:rPr/>
      </w:pPr>
      <w:r>
        <w:rPr/>
      </w:r>
    </w:p>
    <w:p>
      <w:pPr>
        <w:pStyle w:val="Heading1"/>
        <w:ind w:hanging="0" w:start="0"/>
        <w:rPr/>
      </w:pPr>
      <w:r>
        <w:rPr/>
        <w:t>A COMPROMISE SOLUTION PROPOSAL</w:t>
      </w:r>
    </w:p>
    <w:p>
      <w:pPr>
        <w:pStyle w:val="Normal"/>
        <w:rPr/>
      </w:pPr>
      <w:r>
        <w:rPr/>
      </w:r>
    </w:p>
    <w:p>
      <w:pPr>
        <w:pStyle w:val="Normal"/>
        <w:rPr/>
      </w:pPr>
      <w:r>
        <w:rPr/>
        <w:t>As previously discussed, there is good reason for a compromise solution that protects both ratepayers and PG&amp;E.  This solution must examine all of the facts.  The following is a summary of such a compromise solution:</w:t>
      </w:r>
    </w:p>
    <w:p>
      <w:pPr>
        <w:pStyle w:val="Normal"/>
        <w:rPr/>
      </w:pPr>
      <w:r>
        <w:rPr/>
      </w:r>
    </w:p>
    <w:p>
      <w:pPr>
        <w:pStyle w:val="Normal"/>
        <w:numPr>
          <w:ilvl w:val="0"/>
          <w:numId w:val="3"/>
        </w:numPr>
        <w:rPr/>
      </w:pPr>
      <w:r>
        <w:rPr/>
        <w:t>The rate freeze should end on December 31, 2001, in order to protect California consumers from the rate shock of recent energy price spikes and provide enough time for consumers to shop and implement future market designs and new generation to be built.</w:t>
      </w:r>
    </w:p>
    <w:p>
      <w:pPr>
        <w:pStyle w:val="Normal"/>
        <w:numPr>
          <w:ilvl w:val="0"/>
          <w:numId w:val="3"/>
        </w:numPr>
        <w:rPr/>
      </w:pPr>
      <w:r>
        <w:rPr/>
        <w:t>Various expected over-collections and under-collections should be netted, in conjunction with a potential post-freeze surcharge to protect PG&amp;E from significant financial harm.</w:t>
      </w:r>
    </w:p>
    <w:p>
      <w:pPr>
        <w:pStyle w:val="Normal"/>
        <w:numPr>
          <w:ilvl w:val="0"/>
          <w:numId w:val="3"/>
        </w:numPr>
        <w:rPr/>
      </w:pPr>
      <w:r>
        <w:rPr/>
        <w:t>PG&amp;E should be provided with procurement flexibility through December 31, 2001, in order to manage its risks, as well as mitigate any market power exercised by suppliers in the PX day-ahead markets, under this proposal.</w:t>
      </w:r>
    </w:p>
    <w:p>
      <w:pPr>
        <w:pStyle w:val="Normal"/>
        <w:numPr>
          <w:ilvl w:val="0"/>
          <w:numId w:val="3"/>
        </w:numPr>
        <w:rPr/>
      </w:pPr>
      <w:r>
        <w:rPr/>
        <w:t>Large customers should be expected to shop for a customized solution offered by the market and a regulatory solution for small customers such as bidding out the default provider role should be implemented by December 31, 2001.</w:t>
      </w:r>
    </w:p>
    <w:p>
      <w:pPr>
        <w:pStyle w:val="Normal"/>
        <w:rPr/>
      </w:pPr>
      <w:r>
        <w:rPr/>
      </w:r>
    </w:p>
    <w:p>
      <w:pPr>
        <w:pStyle w:val="Normal"/>
        <w:rPr/>
      </w:pPr>
      <w:r>
        <w:rPr/>
        <w:t>A rate freeze can end on December 31, 2001, because the estimated under-recoveries in the TRA and the net book value on that date can be largely offset by estimated over-recoveries in the TCBA, Generation Memorandum Accounts, and a realistic hydro valuation on that date, under current market conditions.  Any remaining undercollections on December 31, 2001 can be recovered through a post-freeze surcharge.  The formula for such a compromise solution can be expressed as follows:</w:t>
      </w:r>
    </w:p>
    <w:p>
      <w:pPr>
        <w:pStyle w:val="Normal"/>
        <w:rPr/>
      </w:pPr>
      <w:r>
        <w:rPr/>
      </w:r>
    </w:p>
    <w:p>
      <w:pPr>
        <w:pStyle w:val="Normal"/>
        <w:rPr/>
      </w:pPr>
      <w:r>
        <w:rPr/>
        <w:t>n= End of Freeze</w:t>
      </w:r>
    </w:p>
    <w:p>
      <w:pPr>
        <w:pStyle w:val="Normal"/>
        <w:rPr/>
      </w:pPr>
      <w:r>
        <w:rPr/>
        <w:t>Un = TCBA Balance</w:t>
      </w:r>
    </w:p>
    <w:p>
      <w:pPr>
        <w:pStyle w:val="Normal"/>
        <w:rPr/>
      </w:pPr>
      <w:r>
        <w:rPr/>
        <w:t>Vn = Net Book Value of Generation Assets and Regulatory Assets</w:t>
      </w:r>
    </w:p>
    <w:p>
      <w:pPr>
        <w:pStyle w:val="Normal"/>
        <w:rPr/>
      </w:pPr>
      <w:r>
        <w:rPr/>
        <w:t>Wn = TRA Balance</w:t>
      </w:r>
    </w:p>
    <w:p>
      <w:pPr>
        <w:pStyle w:val="Normal"/>
        <w:rPr/>
      </w:pPr>
      <w:r>
        <w:rPr/>
        <w:t>Xn = Generation Memorandum Account Balance</w:t>
      </w:r>
    </w:p>
    <w:p>
      <w:pPr>
        <w:pStyle w:val="Normal"/>
        <w:rPr/>
      </w:pPr>
      <w:r>
        <w:rPr/>
        <w:t>Yn = Hydro Valuation</w:t>
      </w:r>
    </w:p>
    <w:p>
      <w:pPr>
        <w:pStyle w:val="Normal"/>
        <w:rPr/>
      </w:pPr>
      <w:r>
        <w:rPr/>
        <w:t>Zn = PG&amp;E Write-Off</w:t>
      </w:r>
    </w:p>
    <w:p>
      <w:pPr>
        <w:pStyle w:val="Normal"/>
        <w:rPr/>
      </w:pPr>
      <w:r>
        <w:rPr/>
        <w:t>A = Post Freeze Surcharge</w:t>
      </w:r>
    </w:p>
    <w:p>
      <w:pPr>
        <w:pStyle w:val="Normal"/>
        <w:rPr/>
      </w:pPr>
      <w:r>
        <w:rPr/>
        <w:t>B= Years of the Surcharge</w:t>
      </w:r>
    </w:p>
    <w:p>
      <w:pPr>
        <w:pStyle w:val="Normal"/>
        <w:rPr/>
      </w:pPr>
      <w:r>
        <w:rPr/>
        <w:t>C = kWh sales/year</w:t>
      </w:r>
    </w:p>
    <w:p>
      <w:pPr>
        <w:pStyle w:val="Normal"/>
        <w:rPr/>
      </w:pPr>
      <w:r>
        <w:rPr/>
      </w:r>
    </w:p>
    <w:p>
      <w:pPr>
        <w:pStyle w:val="Normal"/>
        <w:rPr/>
      </w:pPr>
      <w:r>
        <w:rPr/>
        <w:t>Un + (Vn + Wn + Xn) + Yn + Zn + (A x B x C) = 0</w:t>
      </w:r>
    </w:p>
    <w:p>
      <w:pPr>
        <w:pStyle w:val="Normal"/>
        <w:rPr/>
      </w:pPr>
      <w:r>
        <w:rPr/>
      </w:r>
    </w:p>
    <w:p>
      <w:pPr>
        <w:pStyle w:val="Normal"/>
        <w:rPr/>
      </w:pPr>
      <w:r>
        <w:rPr/>
        <w:t>Under this formula and the following estimated balances the equation works as follows:</w:t>
      </w:r>
    </w:p>
    <w:p>
      <w:pPr>
        <w:pStyle w:val="Normal"/>
        <w:rPr/>
      </w:pPr>
      <w:r>
        <w:rPr/>
      </w:r>
    </w:p>
    <w:p>
      <w:pPr>
        <w:pStyle w:val="Normal"/>
        <w:rPr/>
      </w:pPr>
      <w:r>
        <w:rPr/>
        <w:t>n= December 31, 2001</w:t>
      </w:r>
    </w:p>
    <w:p>
      <w:pPr>
        <w:pStyle w:val="Normal"/>
        <w:rPr/>
      </w:pPr>
      <w:r>
        <w:rPr/>
        <w:t xml:space="preserve">Un = $300 million (PG&amp;E’s July 31, 2000 ending balance was $441 million undercollected)  </w:t>
      </w:r>
    </w:p>
    <w:p>
      <w:pPr>
        <w:pStyle w:val="Normal"/>
        <w:rPr/>
      </w:pPr>
      <w:r>
        <w:rPr/>
        <w:t>Vn = $1,000 million ( PG&amp;E’s August 31, 2000 ending balance was approximately $2,960 million)</w:t>
      </w:r>
    </w:p>
    <w:p>
      <w:pPr>
        <w:pStyle w:val="Normal"/>
        <w:rPr/>
      </w:pPr>
      <w:r>
        <w:rPr/>
        <w:t>Wn = $7,000 million (PG&amp;E’s August 31, 2000 ending balance was $2,180 million undercollected)</w:t>
      </w:r>
    </w:p>
    <w:p>
      <w:pPr>
        <w:pStyle w:val="Normal"/>
        <w:rPr/>
      </w:pPr>
      <w:r>
        <w:rPr/>
        <w:t>Xn = ($2,500) million (PG&amp;E’s August 31, 2000 ending balance was $790 million overcollected)</w:t>
      </w:r>
    </w:p>
    <w:p>
      <w:pPr>
        <w:pStyle w:val="Normal"/>
        <w:rPr/>
      </w:pPr>
      <w:r>
        <w:rPr/>
        <w:t>Yn = ($4,000) million (PG&amp;E’s net operating revenues for 2000 through August was $760 million)</w:t>
      </w:r>
    </w:p>
    <w:p>
      <w:pPr>
        <w:pStyle w:val="Normal"/>
        <w:rPr/>
      </w:pPr>
      <w:r>
        <w:rPr/>
        <w:t>Zn = ($200) million</w:t>
      </w:r>
    </w:p>
    <w:p>
      <w:pPr>
        <w:pStyle w:val="Normal"/>
        <w:rPr/>
      </w:pPr>
      <w:r>
        <w:rPr/>
        <w:t xml:space="preserve">A = -5 $/MWH (PG&amp;E’s 1999 GRC exhibit showed a system-average CTC rate of 6.5 $/MWH)  </w:t>
        <w:br/>
        <w:t>B = ?</w:t>
      </w:r>
    </w:p>
    <w:p>
      <w:pPr>
        <w:pStyle w:val="Normal"/>
        <w:rPr/>
      </w:pPr>
      <w:r>
        <w:rPr/>
        <w:t>C = 80 million MWH/year (PG&amp;E’s 1999 Test Year sales forecast was 78 million MWH)</w:t>
      </w:r>
    </w:p>
    <w:p>
      <w:pPr>
        <w:pStyle w:val="Normal"/>
        <w:rPr/>
      </w:pPr>
      <w:r>
        <w:rPr/>
      </w:r>
    </w:p>
    <w:p>
      <w:pPr>
        <w:pStyle w:val="Normal"/>
        <w:rPr/>
      </w:pPr>
      <w:r>
        <w:rPr/>
        <w:t>300 + (1000 + 7000 – 2500) – 4000 – 200 – (5 x B x 80) = 0</w:t>
      </w:r>
    </w:p>
    <w:p>
      <w:pPr>
        <w:pStyle w:val="Normal"/>
        <w:rPr/>
      </w:pPr>
      <w:r>
        <w:rPr/>
        <w:t>300 + 5500 – 4000 – 200 – 400B = 0</w:t>
      </w:r>
    </w:p>
    <w:p>
      <w:pPr>
        <w:pStyle w:val="Normal"/>
        <w:rPr/>
      </w:pPr>
      <w:r>
        <w:rPr/>
        <w:t>1600 - 400 B = 0</w:t>
      </w:r>
    </w:p>
    <w:p>
      <w:pPr>
        <w:pStyle w:val="Normal"/>
        <w:rPr/>
      </w:pPr>
      <w:r>
        <w:rPr/>
        <w:t>400B = 1600</w:t>
      </w:r>
    </w:p>
    <w:p>
      <w:pPr>
        <w:pStyle w:val="Normal"/>
        <w:rPr/>
      </w:pPr>
      <w:r>
        <w:rPr/>
        <w:t>B = 1600/400</w:t>
      </w:r>
    </w:p>
    <w:p>
      <w:pPr>
        <w:pStyle w:val="Normal"/>
        <w:rPr/>
      </w:pPr>
      <w:r>
        <w:rPr/>
        <w:t>B = 4 years</w:t>
      </w:r>
    </w:p>
    <w:p>
      <w:pPr>
        <w:pStyle w:val="Normal"/>
        <w:rPr/>
      </w:pPr>
      <w:r>
        <w:rPr/>
      </w:r>
    </w:p>
    <w:p>
      <w:pPr>
        <w:pStyle w:val="Normal"/>
        <w:rPr/>
      </w:pPr>
      <w:r>
        <w:rPr/>
        <w:t>As discussed above, ending the rate freeze on December 31, 2001, is necessary, reasonable, and accomplishable.  It is necessary to avoid immediate rate shock that could be catastrophic to California’s economy and provides customers and regulators the much needed time to determine longer term solutions and for new generation to be built.  It is reasonable because both ratepayers and PG&amp;E will have an opportunity to manage their risks.  Finally, it is accomplishable as described below.</w:t>
      </w:r>
    </w:p>
    <w:p>
      <w:pPr>
        <w:pStyle w:val="Normal"/>
        <w:rPr/>
      </w:pPr>
      <w:r>
        <w:rPr/>
      </w:r>
    </w:p>
    <w:p>
      <w:pPr>
        <w:pStyle w:val="Normal"/>
        <w:rPr/>
      </w:pPr>
      <w:r>
        <w:rPr/>
        <w:t>It is reasonable to expect that the TCBA undercollection will most likely decrease by December 31, 2001, under current market conditions.  The TCBA continues to record amounts from funded by bonds for the ten percent rate reduction, despite the fact that CTC revenues as calculated by the TRA are omitted.  Further, as eluded to earlier, Diablo Canyon has already shown an excess revenue above the incentive payments of $350 million for 2000 through August 31, 2000, even though the run-up in commodity prices did not occur until the summer.  Diablo Canyon is expected to earn much more for the remainder of the year and upwards of over $600 million in revenues above incentive payments in 2001.  Further, PX/ISO revenues from QF generation appear to be adequate to cover the QF payments for energy and capacity.  The run-up in the wholesale market energy prices, along with the continuing Rate Reduction Bond funds, appear adequate to more than cover the current accrual and amortization of CTC costs.</w:t>
      </w:r>
    </w:p>
    <w:p>
      <w:pPr>
        <w:pStyle w:val="Normal"/>
        <w:rPr/>
      </w:pPr>
      <w:r>
        <w:rPr/>
      </w:r>
    </w:p>
    <w:p>
      <w:pPr>
        <w:pStyle w:val="Normal"/>
        <w:rPr/>
      </w:pPr>
      <w:r>
        <w:rPr/>
        <w:t>It is unquestionable that the TRA undercollection will increase by December 31, 2001, under current market conditions.  PG&amp;E has made the public aware of this fact; however, PG&amp;E has not made the public aware of all of the facts.</w:t>
      </w:r>
    </w:p>
    <w:p>
      <w:pPr>
        <w:pStyle w:val="Normal"/>
        <w:rPr/>
      </w:pPr>
      <w:r>
        <w:rPr/>
      </w:r>
    </w:p>
    <w:p>
      <w:pPr>
        <w:pStyle w:val="Normal"/>
        <w:rPr/>
      </w:pPr>
      <w:r>
        <w:rPr/>
        <w:t>PG&amp;E’s generation memorandum accounts for its hydro assets and remaining fossil assets are overcollected by $790 million as of August 31, 2000, even though the price run-ups did not occur until the summer.  It is reasonable that the overcollected balance in the Generation Memomorandum Accounts will increase through 2001 (assumes no transfer to TCBA) under current market conditions.  An expected overcollection of $2.5 billion on December 31, 2001, is reasonable given the remaining for months of 2000 and a full year of 2001.  However, this estimate may largely impacted by actual hydro conditions.</w:t>
      </w:r>
    </w:p>
    <w:p>
      <w:pPr>
        <w:pStyle w:val="Normal"/>
        <w:rPr/>
      </w:pPr>
      <w:r>
        <w:rPr/>
      </w:r>
    </w:p>
    <w:p>
      <w:pPr>
        <w:pStyle w:val="Normal"/>
        <w:rPr/>
      </w:pPr>
      <w:r>
        <w:rPr/>
        <w:t>PG&amp;E has publicly stated that it believes its hydro assets are valued at book.  In light of market conditions and self-interests, PG&amp;E has now stated that the hydro assets should be valued at $2.8 billion.  This is an unreasonable low estimate, which stands to benefit PG&amp;E under their current hydro settlement proposal.  Further, PG&amp;E’s reason for agreeing to a $2.8 billion interim value due to a change in market conditions is untruthful, because PG&amp;E’s hydro settlement that would value the hydro assets at $2.8 billion was determined prior to the run-up in market prices.  In fact, PG&amp;E had proposed to value the hydro assets along with other purchased power contracts at $3.3 billion in 1999 through the legislature.  Under current market conditions, the value of the hydro assets should well exceed $4 billion, especially in light of the deferred tax benefits by keeping the asset within the utility.  PG&amp;E’s hydro assets are expected to earn $2 billion in net operating revenues from January 1, 2000 to December 31, 2000, if energy prices and hydro conditions remain the same.  Finally, one might expect the revenue requirement to decrease over time as the value of the plant is amortized.  This will help mitigate any potential shortfalls in the hopeful event that prices will decrease over time as new generation is built.</w:t>
      </w:r>
    </w:p>
    <w:p>
      <w:pPr>
        <w:pStyle w:val="Normal"/>
        <w:rPr/>
      </w:pPr>
      <w:r>
        <w:rPr/>
      </w:r>
    </w:p>
    <w:p>
      <w:pPr>
        <w:pStyle w:val="Normal"/>
        <w:rPr/>
      </w:pPr>
      <w:r>
        <w:rPr/>
        <w:t>It is important to understand that in light of current market conditions, that it is more important to err on overestimating the market value of hydro assets versus underestimating.  To the extent that the hydro assets have been mistakenly overestimated, the benefits today will be to keep rates frozen while possibly creating revenue shortfalls in the future.  However, any surcharge to ratepayers to cover the revenue shortfall in the future based on the difference between wholesale market revenues and the annual revenue requirement would imply that market prices have come down and the surcharge will be offset by any drops in procurement costs.  In establishing a market value, one of three options can be implemented on a going forward basis: (a) ratepayers continue the risk of operations and regulated ratemaking; (b) PG&amp;E shareholders assume the risk of the free market; or (c) a PBR sharing mechanism is implemented.</w:t>
      </w:r>
    </w:p>
    <w:p>
      <w:pPr>
        <w:pStyle w:val="Normal"/>
        <w:rPr/>
      </w:pPr>
      <w:r>
        <w:rPr/>
        <w:t xml:space="preserve">  </w:t>
      </w:r>
    </w:p>
    <w:p>
      <w:pPr>
        <w:pStyle w:val="Normal"/>
        <w:rPr/>
      </w:pPr>
      <w:r>
        <w:rPr/>
        <w:t>Whether PG&amp;E should have to take a write-off an bear some of the pain that California has experienced largely depends on how this proposal is implemented and the publics’ attitude towards PG&amp;E’s past behavior.  It has been demonstrated that PG&amp;E has not been a good steward of deregulation, behaving in a manner that maximizes PG&amp;E’s benefits to the detriment of ratepayers.  Under these circumstances, should PG&amp;E be virtually guaranteed 100% recovery of CTCs?  There are various ways to continue to place PG&amp;E at some level of risks for CTC recovery.  First, PG&amp;E can be given a disallowance possibly resulting in an immediate write-off.  In lieu or in conjunction with this, PG&amp;E can be held at risk for changing conditions through December 31, 2001, by pre-establishing that the rate freeze will continue through December 31, 2001, and the level and time-period for a surcharge after the freeze ends.  However, PG&amp;E will be granted flexibility to hedge this risk through December 31, 2001.  Another similar example, is to set a post-freeze surcharge to recover the resulting undercollections on December 31, 2001; however, that surcharge cannot be charged more than 4 years.  There are many different manifestations on how PG&amp;E should continue to share the risks, especially when granted the flexibility to hedge.</w:t>
      </w:r>
    </w:p>
    <w:p>
      <w:pPr>
        <w:pStyle w:val="Normal"/>
        <w:rPr/>
      </w:pPr>
      <w:r>
        <w:rPr/>
      </w:r>
    </w:p>
    <w:p>
      <w:pPr>
        <w:pStyle w:val="Normal"/>
        <w:rPr/>
      </w:pPr>
      <w:r>
        <w:rPr/>
        <w:t xml:space="preserve">A post-freeze surcharge to recover net undercollections on December 31, 2001, looks like it will be a necessary evil to implement this proposal.  PG&amp;E had reported in its GRC an expected system-average CTC rate of $6.5 per MWH.  Presumably, this was estimated prior to the run-up in wholesale energy prices.  That CTC rate was to collect stranded costs for QF contracts.  However, under current market conditions, wholesale revenues generated by QF deliveries are sufficient to cover QF payments; hence, there may not be a need for a $6.5 per MWH rate.  The amount of CTCs for QFs will largely depend on market conditions and the outcome of CPUC regulatory proceedings addressing QF payments.  To the extent market prices come down, resulting in undercollections for QF contracts, the reduction in the price of energy should more than offset the necessity of increase a post-freeze CTC surcharge.  In addition, Diablo Canyon will result in stranded benefits that should offset a post-freeze surcharge for undercollections incurred during the rate freeze, QF contracts, and/or an overestimate of hydro value.  However, this depends on the ratemaking treatment of Diablo Canyon after the rate freeze.  Since ratepayers were expecting a $6.5 per MWH surcharge, a surcharge of $5 per MWH should be reasonable.  The post-freeze cashflows should be managed to not exceed $5 per MWH during the term of the surcharge. </w:t>
      </w:r>
    </w:p>
    <w:p>
      <w:pPr>
        <w:pStyle w:val="Normal"/>
        <w:rPr/>
      </w:pPr>
      <w:r>
        <w:rPr/>
        <w:t xml:space="preserve"> </w:t>
      </w:r>
    </w:p>
    <w:p>
      <w:pPr>
        <w:pStyle w:val="Normal"/>
        <w:rPr/>
      </w:pPr>
      <w:r>
        <w:rPr/>
        <w:t>The term of the surcharge should not exceed 3 to 4 years in order that the surcharge drops off and is replaced by a surcharge recovering QF stranded costs.  This could reasonably happen 3 to 4 years after the end of the freeze based on a hopeful decrease in market prices from demand-side management and new generation construction.</w:t>
      </w:r>
    </w:p>
    <w:p>
      <w:pPr>
        <w:pStyle w:val="Normal"/>
        <w:rPr/>
      </w:pPr>
      <w:r>
        <w:rPr/>
      </w:r>
    </w:p>
    <w:p>
      <w:pPr>
        <w:pStyle w:val="Heading1"/>
        <w:ind w:hanging="0" w:start="0"/>
        <w:rPr/>
      </w:pPr>
      <w:r>
        <w:rPr/>
        <w:t>SUMMARY</w:t>
      </w:r>
    </w:p>
    <w:p>
      <w:pPr>
        <w:pStyle w:val="Normal"/>
        <w:rPr/>
      </w:pPr>
      <w:r>
        <w:rPr/>
      </w:r>
    </w:p>
    <w:p>
      <w:pPr>
        <w:pStyle w:val="Normal"/>
        <w:rPr/>
      </w:pPr>
      <w:r>
        <w:rPr/>
        <w:t>PG&amp;E has concerns under the current deregulation structure.  Consistent with PG&amp;E’s past behavior, PG&amp;E is threatening a proposal that would adversely impact California, while potentially resulting in huger windfalls for PG&amp;E.  It is important to implement a plan that addresses both PG&amp;E’s and California Consumers’ needs to avoid any catastrophic results from PG&amp;E’s desperate behavior.  When faced with all of the facts as presented above, there is a win-win solution.  It is important to agree and implement this win-win solution so that parties can act prudently and California can prepare for the future.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2000-10-05T13:32:00Z</dcterms:created>
  <dc:creator>ryang</dc:creator>
  <dc:description/>
  <dc:language>en-CA</dc:language>
  <cp:lastModifiedBy>ryang</cp:lastModifiedBy>
  <dcterms:modified xsi:type="dcterms:W3CDTF">2000-10-05T17:24:00Z</dcterms:modified>
  <cp:revision>2</cp:revision>
  <dc:subject/>
  <dc:title>PG&amp;E is proposing to end the rate freeze to California consumers retroactively to August 1, 2000</dc:title>
</cp:coreProperties>
</file>