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jc w:val="center"/>
        <w:rPr>
          <w:b/>
        </w:rPr>
      </w:pPr>
      <w:r>
        <w:rPr>
          <w:b/>
        </w:rPr>
      </w:r>
    </w:p>
    <w:p>
      <w:pPr>
        <w:pStyle w:val="Normal"/>
        <w:jc w:val="center"/>
        <w:rPr>
          <w:b/>
        </w:rPr>
      </w:pPr>
      <w:r>
        <w:rPr>
          <w:b/>
        </w:rPr>
        <w:t xml:space="preserve"> </w:t>
      </w:r>
      <w:r>
        <w:rPr>
          <w:b/>
        </w:rPr>
        <w:t>AMENDMENT TO</w:t>
      </w:r>
    </w:p>
    <w:p>
      <w:pPr>
        <w:pStyle w:val="Normal"/>
        <w:spacing w:before="0" w:after="240"/>
        <w:jc w:val="center"/>
        <w:rPr>
          <w:b/>
        </w:rPr>
      </w:pPr>
      <w:r>
        <w:rPr>
          <w:b/>
        </w:rPr>
        <w:t>MASTER FIRM ENERGY PURCHASE/SALE AGREEMENT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This Amendment to Master Firm Purchase/Sale Agreement is made and entered into effective as of August 2, 2001, by and between </w:t>
      </w:r>
      <w:r>
        <w:rPr>
          <w:bCs/>
        </w:rPr>
        <w:t>Enron North America Corp</w:t>
      </w:r>
      <w:r>
        <w:rPr>
          <w:b/>
        </w:rPr>
        <w:t>.</w:t>
      </w:r>
      <w:r>
        <w:rPr/>
        <w:t>, f/k/a Enron Capital &amp; Trade Resources Corp., a Delaware corporation ("Customer") and PG&amp;E Energy Trading–Gas Corporation, a California corporation ("Company").</w:t>
      </w:r>
    </w:p>
    <w:p>
      <w:pPr>
        <w:pStyle w:val="Normal"/>
        <w:jc w:val="both"/>
        <w:rPr/>
      </w:pPr>
      <w:r>
        <w:rPr/>
      </w:r>
    </w:p>
    <w:p>
      <w:pPr>
        <w:pStyle w:val="Normal"/>
        <w:jc w:val="both"/>
        <w:rPr/>
      </w:pPr>
      <w:r>
        <w:rPr/>
      </w:r>
    </w:p>
    <w:p>
      <w:pPr>
        <w:pStyle w:val="Normal"/>
        <w:spacing w:before="120" w:after="120"/>
        <w:jc w:val="center"/>
        <w:rPr>
          <w:b/>
        </w:rPr>
      </w:pPr>
      <w:r>
        <w:rPr>
          <w:b/>
        </w:rPr>
        <w:t>WITNESSETH:</w:t>
      </w:r>
    </w:p>
    <w:p>
      <w:pPr>
        <w:pStyle w:val="Normal"/>
        <w:spacing w:before="0" w:after="120"/>
        <w:jc w:val="both"/>
        <w:rPr>
          <w:b/>
        </w:rPr>
      </w:pPr>
      <w:r>
        <w:rPr>
          <w:b/>
        </w:rPr>
      </w:r>
    </w:p>
    <w:p>
      <w:pPr>
        <w:pStyle w:val="Justified"/>
        <w:spacing w:lineRule="auto" w:line="240"/>
        <w:rPr/>
      </w:pPr>
      <w:r>
        <w:rPr/>
        <w:tab/>
        <w:t>WHEREAS, Enron North America Corp. and PG&amp;E Energy Trading–Gas Corporation entered into that certain Master Firm Purchase/Sale Agreement dated effective February 1, 1998 as amended on August 2, 2001, ("Agreement"), covering transactions for the purchase or sale of natural gas;</w:t>
      </w:r>
    </w:p>
    <w:p>
      <w:pPr>
        <w:pStyle w:val="Normal"/>
        <w:spacing w:before="0" w:after="120"/>
        <w:jc w:val="both"/>
        <w:rPr/>
      </w:pPr>
      <w:r>
        <w:rPr/>
        <w:tab/>
        <w:t>WHEREAS, the Parties now desire to amend the Agreement with respect to Confirmations.</w:t>
      </w:r>
    </w:p>
    <w:p>
      <w:pPr>
        <w:pStyle w:val="Normal"/>
        <w:spacing w:before="0" w:after="120"/>
        <w:jc w:val="both"/>
        <w:rPr/>
      </w:pPr>
      <w:r>
        <w:rPr/>
        <w:tab/>
        <w:t>NOW, THEREFORE, in consideration of the premises and the agreements herein contained, the Parties agree as follows:</w:t>
      </w:r>
    </w:p>
    <w:p>
      <w:pPr>
        <w:pStyle w:val="Justified"/>
        <w:rPr/>
      </w:pPr>
      <w:r>
        <w:rPr/>
        <w:t>1.</w:t>
        <w:tab/>
        <w:t xml:space="preserve">All references in any writing related to the Agreement shall be to the Agreement as amended hereby.  </w:t>
      </w:r>
    </w:p>
    <w:p>
      <w:pPr>
        <w:pStyle w:val="Normal"/>
        <w:spacing w:before="0" w:after="120"/>
        <w:jc w:val="both"/>
        <w:rPr/>
      </w:pPr>
      <w:r>
        <w:rPr/>
        <w:t>2.</w:t>
        <w:tab/>
        <w:t>All capitalized terms used herein unless otherwise defined shall have the meanings given to them in the Agreement.</w:t>
      </w:r>
    </w:p>
    <w:p>
      <w:pPr>
        <w:pStyle w:val="Normal"/>
        <w:spacing w:before="0" w:after="120"/>
        <w:jc w:val="both"/>
        <w:rPr/>
      </w:pPr>
      <w:r>
        <w:rPr/>
        <w:t>3.</w:t>
        <w:tab/>
        <w:t xml:space="preserve">The following provision replaces and restates Section 2.4. in its entirety </w:t>
      </w:r>
      <w:r>
        <w:rPr>
          <w:b/>
          <w:u w:val="single"/>
        </w:rPr>
        <w:t>Confirmations</w:t>
      </w:r>
      <w:r>
        <w:rPr>
          <w:b/>
        </w:rPr>
        <w:t>.</w:t>
      </w:r>
      <w:r>
        <w:rPr/>
        <w:t xml:space="preserve">  “In addition to, but not in lieu of, the foregoing, the Parties agree that Customer may confirm a recorded telephonic Transaction by forwarding to Company a facsimile Confirmation in the form set out on </w:t>
      </w:r>
      <w:r>
        <w:rPr>
          <w:u w:val="single"/>
        </w:rPr>
        <w:t>Exhibit B</w:t>
      </w:r>
      <w:r>
        <w:rPr/>
        <w:t xml:space="preserve"> and that a reasonable time for the receipt by Company of a Confirmation is within 24 hours of the Transaction formation.  Customer does hereby adopt its letterhead, including its address, as its signature on any Confirmation as the identification of Customer and authentication by Customer of the Confirmation, and such letterhead shall be sufficient to verify that Customer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Justified"/>
        <w:rPr/>
      </w:pPr>
      <w:r>
        <w:rPr/>
        <w:t>5.</w:t>
        <w:tab/>
        <w:t>The Parties hereby acknowledge and agree that, except as specifically amended hereby, the Agreement shall remain in full force and effect in accordance with its terms.</w:t>
      </w:r>
    </w:p>
    <w:p>
      <w:pPr>
        <w:pStyle w:val="Justified"/>
        <w:rPr/>
      </w:pPr>
      <w:r>
        <w:rPr/>
        <w:t>6.</w:t>
        <w:tab/>
        <w:t>This Amendment may be executed in counterparts, each of which taken together shall constitute one and the same instrument.</w:t>
      </w:r>
    </w:p>
    <w:p>
      <w:pPr>
        <w:pStyle w:val="Justified"/>
        <w:rPr/>
      </w:pPr>
      <w:r>
        <w:rPr/>
        <w:tab/>
        <w:t>IN WITNESS WHEREOF, Enron North America Corp. and PG&amp;E Energy Trading–Gas Corporation, by their respective authorized representatives, have executed this Amendment effective as of the date first written above.</w:t>
      </w:r>
    </w:p>
    <w:p>
      <w:pPr>
        <w:pStyle w:val="Normal"/>
        <w:tabs>
          <w:tab w:val="clear" w:pos="720"/>
          <w:tab w:val="left" w:pos="5040" w:leader="none"/>
          <w:tab w:val="left" w:pos="9180" w:leader="none"/>
        </w:tabs>
        <w:spacing w:before="0" w:after="120"/>
        <w:jc w:val="both"/>
        <w:rPr>
          <w:b/>
        </w:rPr>
      </w:pPr>
      <w:r>
        <w:rPr>
          <w:b/>
        </w:rPr>
      </w:r>
    </w:p>
    <w:p>
      <w:pPr>
        <w:pStyle w:val="Normal"/>
        <w:tabs>
          <w:tab w:val="clear" w:pos="720"/>
          <w:tab w:val="left" w:pos="5040" w:leader="none"/>
          <w:tab w:val="left" w:pos="9180" w:leader="none"/>
        </w:tabs>
        <w:spacing w:before="0" w:after="120"/>
        <w:jc w:val="both"/>
        <w:rPr>
          <w:b/>
        </w:rPr>
      </w:pPr>
      <w:r>
        <w:rPr>
          <w:b/>
        </w:rPr>
        <w:t>ENRON NORTH AMERICA CORP.</w:t>
      </w:r>
    </w:p>
    <w:p>
      <w:pPr>
        <w:pStyle w:val="Normal"/>
        <w:tabs>
          <w:tab w:val="clear" w:pos="720"/>
          <w:tab w:val="left" w:pos="5040" w:leader="none"/>
          <w:tab w:val="left" w:pos="9180" w:leader="none"/>
        </w:tabs>
        <w:spacing w:before="0" w:after="120"/>
        <w:jc w:val="both"/>
        <w:rPr>
          <w:b/>
        </w:rPr>
      </w:pPr>
      <w:r>
        <w:rPr>
          <w:b/>
        </w:rPr>
      </w:r>
    </w:p>
    <w:p>
      <w:pPr>
        <w:pStyle w:val="Normal"/>
        <w:tabs>
          <w:tab w:val="clear" w:pos="720"/>
          <w:tab w:val="left" w:pos="5040" w:leader="none"/>
          <w:tab w:val="left" w:pos="9180" w:leader="none"/>
        </w:tabs>
        <w:jc w:val="both"/>
        <w:rPr/>
      </w:pPr>
      <w:r>
        <w:rPr/>
        <w:t xml:space="preserve">By:    </w:t>
      </w:r>
      <w:r>
        <w:rPr>
          <w:u w:val="single"/>
        </w:rPr>
        <w:tab/>
      </w:r>
    </w:p>
    <w:p>
      <w:pPr>
        <w:pStyle w:val="Normal"/>
        <w:tabs>
          <w:tab w:val="clear" w:pos="720"/>
          <w:tab w:val="left" w:pos="5580" w:leader="none"/>
          <w:tab w:val="left" w:pos="9180" w:leader="none"/>
        </w:tabs>
        <w:jc w:val="both"/>
        <w:rPr>
          <w:u w:val="single"/>
        </w:rPr>
      </w:pPr>
      <w:r>
        <w:rPr/>
        <w:t>Name:</w:t>
      </w:r>
      <w:r>
        <w:rPr>
          <w:u w:val="single"/>
        </w:rPr>
        <w:tab/>
      </w:r>
      <w:r>
        <w:rPr/>
        <w:tab/>
      </w:r>
    </w:p>
    <w:p>
      <w:pPr>
        <w:pStyle w:val="Normal"/>
        <w:tabs>
          <w:tab w:val="clear" w:pos="720"/>
          <w:tab w:val="left" w:pos="5580" w:leader="none"/>
          <w:tab w:val="left" w:pos="9180" w:leader="none"/>
        </w:tabs>
        <w:jc w:val="both"/>
        <w:rPr>
          <w:u w:val="single"/>
        </w:rPr>
      </w:pPr>
      <w:r>
        <w:rPr>
          <w:u w:val="single"/>
        </w:rPr>
      </w:r>
    </w:p>
    <w:p>
      <w:pPr>
        <w:pStyle w:val="Normal"/>
        <w:tabs>
          <w:tab w:val="clear" w:pos="720"/>
          <w:tab w:val="left" w:pos="5580" w:leader="none"/>
          <w:tab w:val="left" w:pos="9180" w:leader="none"/>
        </w:tabs>
        <w:jc w:val="both"/>
        <w:rPr/>
      </w:pPr>
      <w:r>
        <w:rPr/>
        <w:t>Title:</w:t>
      </w:r>
      <w:r>
        <w:rPr>
          <w:u w:val="single"/>
        </w:rPr>
        <w:tab/>
      </w:r>
      <w:r>
        <w:rPr/>
        <w:tab/>
      </w:r>
    </w:p>
    <w:p>
      <w:pPr>
        <w:pStyle w:val="Normal"/>
        <w:tabs>
          <w:tab w:val="clear" w:pos="720"/>
          <w:tab w:val="left" w:pos="5040" w:leader="none"/>
          <w:tab w:val="left" w:pos="9180" w:leader="none"/>
        </w:tabs>
        <w:jc w:val="both"/>
        <w:rPr/>
      </w:pPr>
      <w:r>
        <w:rPr/>
      </w:r>
    </w:p>
    <w:p>
      <w:pPr>
        <w:pStyle w:val="Normal"/>
        <w:tabs>
          <w:tab w:val="clear" w:pos="720"/>
          <w:tab w:val="left" w:pos="5040" w:leader="none"/>
          <w:tab w:val="left" w:pos="9180" w:leader="none"/>
        </w:tabs>
        <w:spacing w:before="0" w:after="120"/>
        <w:jc w:val="both"/>
        <w:rPr/>
      </w:pPr>
      <w:r>
        <w:rPr/>
      </w:r>
    </w:p>
    <w:p>
      <w:pPr>
        <w:pStyle w:val="Heading1"/>
        <w:ind w:hanging="0" w:start="0"/>
        <w:rPr>
          <w:sz w:val="24"/>
        </w:rPr>
      </w:pPr>
      <w:r>
        <w:rPr>
          <w:sz w:val="24"/>
        </w:rPr>
        <w:t>PG&amp;E ENERGY TRADING–GAS CORPORATION</w:t>
      </w:r>
    </w:p>
    <w:p>
      <w:pPr>
        <w:pStyle w:val="Normal"/>
        <w:tabs>
          <w:tab w:val="clear" w:pos="720"/>
          <w:tab w:val="left" w:pos="5040" w:leader="none"/>
          <w:tab w:val="left" w:pos="9180" w:leader="none"/>
        </w:tabs>
        <w:spacing w:before="0" w:after="120"/>
        <w:jc w:val="both"/>
        <w:rPr>
          <w:sz w:val="24"/>
        </w:rPr>
      </w:pPr>
      <w:r>
        <w:rPr>
          <w:sz w:val="24"/>
        </w:rPr>
      </w:r>
    </w:p>
    <w:p>
      <w:pPr>
        <w:pStyle w:val="Normal"/>
        <w:tabs>
          <w:tab w:val="clear" w:pos="720"/>
          <w:tab w:val="left" w:pos="5040" w:leader="none"/>
          <w:tab w:val="left" w:pos="9180" w:leader="none"/>
        </w:tabs>
        <w:spacing w:before="0" w:after="120"/>
        <w:jc w:val="both"/>
        <w:rPr/>
      </w:pPr>
      <w:r>
        <w:rPr/>
        <w:t>By:</w:t>
      </w:r>
      <w:r>
        <w:rPr>
          <w:u w:val="single"/>
        </w:rPr>
        <w:tab/>
      </w:r>
    </w:p>
    <w:p>
      <w:pPr>
        <w:pStyle w:val="Normal"/>
        <w:tabs>
          <w:tab w:val="clear" w:pos="720"/>
          <w:tab w:val="left" w:pos="5040" w:leader="none"/>
          <w:tab w:val="left" w:pos="9180" w:leader="none"/>
        </w:tabs>
        <w:spacing w:before="0" w:after="120"/>
        <w:jc w:val="both"/>
        <w:rPr/>
      </w:pPr>
      <w:r>
        <w:rPr/>
        <w:t>Name:</w:t>
      </w:r>
      <w:r>
        <w:rPr>
          <w:u w:val="single"/>
        </w:rPr>
        <w:tab/>
      </w:r>
    </w:p>
    <w:p>
      <w:pPr>
        <w:pStyle w:val="Normal"/>
        <w:rPr/>
      </w:pPr>
      <w:r>
        <w:rPr/>
        <w:t xml:space="preserve">Title: </w:t>
      </w:r>
      <w:r>
        <w:rPr>
          <w:u w:val="single"/>
        </w:rPr>
        <w:tab/>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/mnt/main-storage/datasets/enron-docs/doc/PG_E_Amendment.doc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040" w:leader="none"/>
        <w:tab w:val="left" w:pos="9180" w:leader="none"/>
      </w:tabs>
      <w:spacing w:before="0" w:after="120"/>
      <w:jc w:val="both"/>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2001-08-03T13:51:00Z</dcterms:created>
  <dc:creator>dperlin</dc:creator>
  <dc:description/>
  <dc:language>en-CA</dc:language>
  <cp:lastModifiedBy>dperlin</cp:lastModifiedBy>
  <cp:lastPrinted>2001-08-07T15:21:00Z</cp:lastPrinted>
  <dcterms:modified xsi:type="dcterms:W3CDTF">2001-08-27T19:37:00Z</dcterms:modified>
  <cp:revision>4</cp:revision>
  <dc:subject/>
  <dc:title> AMENDMENT TO</dc:title>
</cp:coreProperties>
</file>