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rFonts w:ascii="Impact" w:hAnsi="Impact" w:cs="Impact"/>
                <w:color w:val="0000FF"/>
                <w:sz w:val="48"/>
              </w:rPr>
            </w:pPr>
            <w:r>
              <w:rPr>
                <w:rFonts w:cs="Impact" w:ascii="Impact" w:hAnsi="Impact"/>
                <w:color w:val="0000FF"/>
                <w:sz w:val="48"/>
              </w:rPr>
              <w:t>enovate</w:t>
            </w:r>
          </w:p>
          <w:p>
            <w:pPr>
              <w:pStyle w:val="Normal"/>
              <w:rPr/>
            </w:pPr>
            <w:r>
              <w:rPr>
                <w:rFonts w:cs="Tahoma" w:ascii="Tahoma" w:hAnsi="Tahoma"/>
                <w:sz w:val="40"/>
              </w:rPr>
              <w:tab/>
            </w:r>
            <w:r>
              <w:rPr>
                <w:rFonts w:cs="Arial" w:ascii="Arial" w:hAnsi="Arial"/>
                <w:color w:val="008000"/>
                <w:sz w:val="18"/>
              </w:rPr>
              <w:t>INNOVATIVE</w:t>
            </w:r>
            <w:r>
              <w:rPr>
                <w:rFonts w:cs="Arial" w:ascii="Arial" w:hAnsi="Arial"/>
                <w:color w:val="FF0000"/>
                <w:sz w:val="18"/>
              </w:rPr>
              <w:t xml:space="preserve"> ENERGY </w:t>
            </w:r>
            <w:r>
              <w:rPr>
                <w:rFonts w:cs="Arial" w:ascii="Arial" w:hAnsi="Arial"/>
                <w:color w:val="0000FF"/>
                <w:sz w:val="18"/>
              </w:rPr>
              <w:t>SOLUTIONS</w:t>
            </w:r>
          </w:p>
          <w:p>
            <w:pPr>
              <w:pStyle w:val="Normal"/>
              <w:rPr>
                <w:rFonts w:ascii="Arial" w:hAnsi="Arial" w:cs="Arial"/>
                <w:color w:val="0000FF"/>
                <w:sz w:val="18"/>
              </w:rPr>
            </w:pPr>
            <w:r>
              <w:rPr>
                <w:rFonts w:cs="Arial" w:ascii="Arial" w:hAnsi="Arial"/>
                <w:color w:val="0000FF"/>
                <w:sz w:val="18"/>
              </w:rPr>
            </w:r>
          </w:p>
          <w:p>
            <w:pPr>
              <w:pStyle w:val="Normal"/>
              <w:rPr>
                <w:rFonts w:ascii="Arial" w:hAnsi="Arial" w:cs="Arial"/>
                <w:color w:val="0000FF"/>
                <w:sz w:val="18"/>
              </w:rPr>
            </w:pPr>
            <w:r>
              <w:rPr>
                <w:rFonts w:cs="Arial" w:ascii="Arial" w:hAnsi="Arial"/>
                <w:color w:val="0000FF"/>
                <w:sz w:val="18"/>
              </w:rPr>
            </w:r>
          </w:p>
        </w:tc>
        <w:tc>
          <w:tcPr>
            <w:tcW w:w="4788" w:type="dxa"/>
            <w:tcBorders/>
          </w:tcPr>
          <w:p>
            <w:pPr>
              <w:pStyle w:val="Normal"/>
              <w:tabs>
                <w:tab w:val="clear" w:pos="720"/>
                <w:tab w:val="left" w:pos="2412" w:leader="none"/>
              </w:tabs>
              <w:ind w:start="1962" w:end="0"/>
              <w:rPr>
                <w:b/>
                <w:sz w:val="22"/>
              </w:rPr>
            </w:pPr>
            <w:r>
              <w:rPr>
                <w:b/>
                <w:sz w:val="22"/>
              </w:rPr>
              <w:t>enovate, L.L.C.</w:t>
            </w:r>
          </w:p>
          <w:p>
            <w:pPr>
              <w:pStyle w:val="Normal"/>
              <w:tabs>
                <w:tab w:val="clear" w:pos="720"/>
                <w:tab w:val="left" w:pos="2412" w:leader="none"/>
              </w:tabs>
              <w:ind w:start="1962" w:end="0"/>
              <w:rPr>
                <w:i/>
                <w:i/>
                <w:sz w:val="22"/>
              </w:rPr>
            </w:pPr>
            <w:r>
              <w:rPr>
                <w:i/>
                <w:sz w:val="22"/>
              </w:rPr>
              <w:t>150 N. Michigan Avenue</w:t>
            </w:r>
          </w:p>
          <w:p>
            <w:pPr>
              <w:pStyle w:val="Normal"/>
              <w:tabs>
                <w:tab w:val="clear" w:pos="720"/>
                <w:tab w:val="left" w:pos="2412" w:leader="none"/>
              </w:tabs>
              <w:ind w:start="1962" w:end="0"/>
              <w:rPr>
                <w:i/>
                <w:i/>
                <w:sz w:val="22"/>
              </w:rPr>
            </w:pPr>
            <w:r>
              <w:rPr>
                <w:i/>
                <w:sz w:val="22"/>
              </w:rPr>
              <w:t>Suite 3610</w:t>
            </w:r>
          </w:p>
          <w:p>
            <w:pPr>
              <w:pStyle w:val="Normal"/>
              <w:tabs>
                <w:tab w:val="clear" w:pos="720"/>
                <w:tab w:val="left" w:pos="2412" w:leader="none"/>
              </w:tabs>
              <w:ind w:start="1962" w:end="0"/>
              <w:rPr>
                <w:i/>
                <w:i/>
                <w:sz w:val="22"/>
              </w:rPr>
            </w:pPr>
            <w:r>
              <w:rPr>
                <w:i/>
                <w:sz w:val="22"/>
              </w:rPr>
              <w:t>Chicago, Illinois 60601</w:t>
            </w:r>
          </w:p>
          <w:p>
            <w:pPr>
              <w:pStyle w:val="Normal"/>
              <w:tabs>
                <w:tab w:val="clear" w:pos="720"/>
                <w:tab w:val="left" w:pos="2412" w:leader="none"/>
              </w:tabs>
              <w:ind w:start="1962" w:end="0"/>
              <w:rPr>
                <w:i/>
                <w:i/>
                <w:sz w:val="22"/>
              </w:rPr>
            </w:pPr>
            <w:r>
              <w:rPr>
                <w:i/>
                <w:sz w:val="22"/>
              </w:rPr>
              <w:t>Phone (312) 541-1231</w:t>
            </w:r>
          </w:p>
          <w:p>
            <w:pPr>
              <w:pStyle w:val="Heading1"/>
              <w:rPr/>
            </w:pPr>
            <w:r>
              <w:rPr/>
              <w:t>Fax (312) 541-2728</w:t>
            </w:r>
          </w:p>
        </w:tc>
      </w:tr>
    </w:tbl>
    <w:p>
      <w:pPr>
        <w:pStyle w:val="Normal"/>
        <w:jc w:val="center"/>
        <w:rPr/>
      </w:pPr>
      <w:r>
        <w:rPr/>
      </w:r>
    </w:p>
    <w:p>
      <w:pPr>
        <w:pStyle w:val="Normal"/>
        <w:jc w:val="center"/>
        <w:rPr/>
      </w:pPr>
      <w:r>
        <w:rPr/>
      </w:r>
    </w:p>
    <w:p>
      <w:pPr>
        <w:pStyle w:val="Normal"/>
        <w:jc w:val="center"/>
        <w:rPr/>
      </w:pPr>
      <w:r>
        <w:rPr/>
        <w:t>March 9, 2001</w:t>
      </w:r>
    </w:p>
    <w:p>
      <w:pPr>
        <w:pStyle w:val="Normal"/>
        <w:rPr/>
      </w:pPr>
      <w:r>
        <w:rPr/>
      </w:r>
    </w:p>
    <w:p>
      <w:pPr>
        <w:pStyle w:val="Normal"/>
        <w:rPr/>
      </w:pPr>
      <w:r>
        <w:rPr/>
      </w:r>
    </w:p>
    <w:p>
      <w:pPr>
        <w:pStyle w:val="Normal"/>
        <w:rPr/>
      </w:pPr>
      <w:r>
        <w:rPr/>
        <w:t>PG&amp;E Energy Trading – Gas Corporation</w:t>
      </w:r>
    </w:p>
    <w:p>
      <w:pPr>
        <w:pStyle w:val="Normal"/>
        <w:numPr>
          <w:ilvl w:val="0"/>
          <w:numId w:val="0"/>
        </w:numPr>
        <w:outlineLvl w:val="0"/>
        <w:rPr/>
      </w:pPr>
      <w:r>
        <w:rPr/>
        <w:t>7500 Old Georgetown Road</w:t>
      </w:r>
    </w:p>
    <w:p>
      <w:pPr>
        <w:pStyle w:val="Normal"/>
        <w:numPr>
          <w:ilvl w:val="0"/>
          <w:numId w:val="0"/>
        </w:numPr>
        <w:outlineLvl w:val="0"/>
        <w:rPr/>
      </w:pPr>
      <w:r>
        <w:rPr/>
        <w:t>Bethesda, Maryland  20814</w:t>
      </w:r>
    </w:p>
    <w:p>
      <w:pPr>
        <w:pStyle w:val="Normal"/>
        <w:rPr/>
      </w:pPr>
      <w:r>
        <w:rPr/>
        <w:t>Fax No.:  (301) 280-6601</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This Transaction Agreement shall form and effectuate the agreement between PG&amp;E Energy Trading – Gas Corporation ("PG&amp;E" and "Customer") and enovate L.L.C. ("enovate" and "Company")  regarding the terms of the Natural Gas Pipeline Co. of America ("NGPL") Field Area Synthetic Storage Service between the parties which service involves synthetic injection and withdrawal capabilities for the term as fully described below.  Transaction Agreement No. __</w:t>
      </w:r>
      <w:r>
        <w:rPr>
          <w:u w:val="single"/>
        </w:rPr>
        <w:t>2</w:t>
      </w:r>
      <w:r>
        <w:rPr/>
        <w:t>___.</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348"/>
        <w:gridCol w:w="6228"/>
      </w:tblGrid>
      <w:tr>
        <w:trPr/>
        <w:tc>
          <w:tcPr>
            <w:tcW w:w="3348" w:type="dxa"/>
            <w:tcBorders/>
          </w:tcPr>
          <w:p>
            <w:pPr>
              <w:pStyle w:val="Normal"/>
              <w:rPr/>
            </w:pPr>
            <w:r>
              <w:rPr>
                <w:b/>
                <w:bCs/>
              </w:rPr>
              <w:t>TERM</w:t>
            </w:r>
            <w:r>
              <w:rPr/>
              <w:t>:</w:t>
            </w:r>
          </w:p>
        </w:tc>
        <w:tc>
          <w:tcPr>
            <w:tcW w:w="6228" w:type="dxa"/>
            <w:tcBorders/>
          </w:tcPr>
          <w:p>
            <w:pPr>
              <w:pStyle w:val="Normal"/>
              <w:jc w:val="both"/>
              <w:rPr/>
            </w:pPr>
            <w:r>
              <w:rPr/>
              <w:t>April 1, 2001 through October 31, 2001.</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pPr>
            <w:r>
              <w:rPr>
                <w:b/>
                <w:bCs/>
              </w:rPr>
              <w:t>MSV</w:t>
            </w:r>
            <w:r>
              <w:rPr/>
              <w:t xml:space="preserve">  </w:t>
            </w:r>
            <w:r>
              <w:rPr>
                <w:b/>
                <w:bCs/>
              </w:rPr>
              <w:t xml:space="preserve">(Maximum </w:t>
            </w:r>
          </w:p>
          <w:p>
            <w:pPr>
              <w:pStyle w:val="Normal"/>
              <w:tabs>
                <w:tab w:val="left" w:pos="720" w:leader="none"/>
              </w:tabs>
              <w:rPr>
                <w:b/>
                <w:bCs/>
              </w:rPr>
            </w:pPr>
            <w:r>
              <w:rPr>
                <w:b/>
                <w:bCs/>
              </w:rPr>
              <w:t xml:space="preserve">            </w:t>
            </w:r>
            <w:r>
              <w:rPr>
                <w:b/>
                <w:bCs/>
              </w:rPr>
              <w:t>Storage Volume):</w:t>
            </w:r>
          </w:p>
        </w:tc>
        <w:tc>
          <w:tcPr>
            <w:tcW w:w="6228" w:type="dxa"/>
            <w:tcBorders/>
          </w:tcPr>
          <w:p>
            <w:pPr>
              <w:pStyle w:val="Normal"/>
              <w:snapToGrid w:val="false"/>
              <w:jc w:val="both"/>
              <w:rPr>
                <w:b/>
                <w:bCs/>
              </w:rPr>
            </w:pPr>
            <w:r>
              <w:rPr>
                <w:b/>
                <w:bCs/>
              </w:rPr>
            </w:r>
          </w:p>
          <w:p>
            <w:pPr>
              <w:pStyle w:val="Normal"/>
              <w:jc w:val="both"/>
              <w:rPr/>
            </w:pPr>
            <w:r>
              <w:rPr/>
              <w:t xml:space="preserve">1,000,000 MMBtu </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Receipt MDQ:</w:t>
            </w:r>
          </w:p>
          <w:p>
            <w:pPr>
              <w:pStyle w:val="Normal"/>
              <w:rPr>
                <w:b/>
                <w:bCs/>
              </w:rPr>
            </w:pPr>
            <w:r>
              <w:rPr>
                <w:b/>
                <w:bCs/>
              </w:rPr>
            </w:r>
          </w:p>
          <w:p>
            <w:pPr>
              <w:pStyle w:val="Normal"/>
              <w:rPr>
                <w:b/>
                <w:bCs/>
              </w:rPr>
            </w:pPr>
            <w:r>
              <w:rPr>
                <w:b/>
                <w:bCs/>
              </w:rPr>
              <w:t>Receipt Location:</w:t>
            </w:r>
          </w:p>
          <w:p>
            <w:pPr>
              <w:pStyle w:val="Normal"/>
              <w:rPr>
                <w:b/>
                <w:bCs/>
              </w:rPr>
            </w:pPr>
            <w:r>
              <w:rPr>
                <w:b/>
                <w:bCs/>
              </w:rPr>
            </w:r>
          </w:p>
          <w:p>
            <w:pPr>
              <w:pStyle w:val="Normal"/>
              <w:rPr>
                <w:b/>
                <w:bCs/>
              </w:rPr>
            </w:pPr>
            <w:r>
              <w:rPr>
                <w:b/>
                <w:bCs/>
              </w:rPr>
              <w:t>Fuel Charge:</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Delivery MDQ:</w:t>
            </w:r>
          </w:p>
          <w:p>
            <w:pPr>
              <w:pStyle w:val="Normal"/>
              <w:rPr/>
            </w:pPr>
            <w:r>
              <w:rPr/>
            </w:r>
          </w:p>
          <w:p>
            <w:pPr>
              <w:pStyle w:val="Normal"/>
              <w:ind w:hanging="4320" w:start="4320" w:end="0"/>
              <w:rPr/>
            </w:pPr>
            <w:r>
              <w:rPr>
                <w:b/>
                <w:bCs/>
              </w:rPr>
              <w:t>Delivery Location:</w:t>
            </w:r>
            <w:r>
              <w:rPr/>
              <w:tab/>
              <w:t xml:space="preserve">enovate will provide to Oneok all delivered volumes out of storage at the Peoples TTP. </w:t>
            </w:r>
          </w:p>
          <w:p>
            <w:pPr>
              <w:pStyle w:val="Normal"/>
              <w:rPr>
                <w:b/>
                <w:bCs/>
              </w:rPr>
            </w:pPr>
            <w:r>
              <w:rPr>
                <w:b/>
                <w:bCs/>
              </w:rPr>
            </w:r>
          </w:p>
          <w:p>
            <w:pPr>
              <w:pStyle w:val="Normal"/>
              <w:rPr>
                <w:b/>
                <w:bCs/>
              </w:rPr>
            </w:pPr>
            <w:r>
              <w:rPr>
                <w:b/>
                <w:bCs/>
              </w:rPr>
            </w:r>
          </w:p>
          <w:p>
            <w:pPr>
              <w:pStyle w:val="Normal"/>
              <w:rPr>
                <w:b/>
                <w:bCs/>
              </w:rPr>
            </w:pPr>
            <w:r>
              <w:rPr>
                <w:b/>
                <w:bCs/>
              </w:rPr>
            </w:r>
          </w:p>
          <w:p>
            <w:pPr>
              <w:pStyle w:val="Normal"/>
              <w:rPr>
                <w:b/>
                <w:bCs/>
              </w:rPr>
            </w:pPr>
            <w:r>
              <w:rPr>
                <w:b/>
                <w:bCs/>
              </w:rPr>
              <w:t>Notification time to enovate:</w:t>
            </w:r>
          </w:p>
        </w:tc>
        <w:tc>
          <w:tcPr>
            <w:tcW w:w="6228" w:type="dxa"/>
            <w:tcBorders/>
          </w:tcPr>
          <w:p>
            <w:pPr>
              <w:pStyle w:val="Normal"/>
              <w:jc w:val="both"/>
              <w:rPr/>
            </w:pPr>
            <w:r>
              <w:rPr/>
              <w:t>0-20,000 MMBtu per day.</w:t>
            </w:r>
          </w:p>
          <w:p>
            <w:pPr>
              <w:pStyle w:val="Normal"/>
              <w:jc w:val="both"/>
              <w:rPr/>
            </w:pPr>
            <w:r>
              <w:rPr/>
            </w:r>
          </w:p>
          <w:p>
            <w:pPr>
              <w:pStyle w:val="Normal"/>
              <w:jc w:val="both"/>
              <w:rPr/>
            </w:pPr>
            <w:r>
              <w:rPr/>
              <w:t>NGPL LA</w:t>
            </w:r>
          </w:p>
          <w:p>
            <w:pPr>
              <w:pStyle w:val="Normal"/>
              <w:jc w:val="both"/>
              <w:rPr/>
            </w:pPr>
            <w:r>
              <w:rPr/>
            </w:r>
          </w:p>
          <w:p>
            <w:pPr>
              <w:pStyle w:val="Normal"/>
              <w:jc w:val="both"/>
              <w:rPr/>
            </w:pPr>
            <w:r>
              <w:rPr/>
              <w:t>PG&amp;E will be assessed a fuel charge equal to 1.7% of the injection quantity.</w:t>
            </w:r>
          </w:p>
          <w:p>
            <w:pPr>
              <w:pStyle w:val="Normal"/>
              <w:jc w:val="both"/>
              <w:rPr/>
            </w:pPr>
            <w:r>
              <w:rPr/>
            </w:r>
          </w:p>
          <w:p>
            <w:pPr>
              <w:pStyle w:val="Normal"/>
              <w:jc w:val="both"/>
              <w:rPr/>
            </w:pPr>
            <w:r>
              <w:rPr/>
            </w:r>
          </w:p>
          <w:p>
            <w:pPr>
              <w:pStyle w:val="Normal"/>
              <w:rPr/>
            </w:pPr>
            <w:r>
              <w:rPr/>
              <w:t>0-40,000 MMBtu per day.</w:t>
            </w:r>
          </w:p>
          <w:p>
            <w:pPr>
              <w:pStyle w:val="Normal"/>
              <w:jc w:val="both"/>
              <w:rPr/>
            </w:pPr>
            <w:r>
              <w:rPr/>
            </w:r>
          </w:p>
          <w:p>
            <w:pPr>
              <w:pStyle w:val="Normal"/>
              <w:jc w:val="both"/>
              <w:rPr/>
            </w:pPr>
            <w:r>
              <w:rPr/>
              <w:t>enovate will provide to PG&amp;E all delivered volumes at the pooling point where the inventory was received.  Synthetic injection and withdrawal shall take place at the same location.</w:t>
            </w:r>
          </w:p>
          <w:p>
            <w:pPr>
              <w:pStyle w:val="Normal"/>
              <w:jc w:val="both"/>
              <w:rPr/>
            </w:pPr>
            <w:r>
              <w:rPr/>
            </w:r>
          </w:p>
          <w:p>
            <w:pPr>
              <w:pStyle w:val="Normal"/>
              <w:jc w:val="both"/>
              <w:rPr/>
            </w:pPr>
            <w:r>
              <w:rPr/>
              <w:t xml:space="preserve">Notification from PG&amp;E by </w:t>
            </w:r>
            <w:r>
              <w:rPr>
                <w:b/>
              </w:rPr>
              <w:t>10:00 a.m.</w:t>
            </w:r>
            <w:r>
              <w:rPr/>
              <w:t xml:space="preserve"> on the nomination day prior to gas flow.</w:t>
            </w:r>
          </w:p>
        </w:tc>
      </w:tr>
      <w:tr>
        <w:trPr/>
        <w:tc>
          <w:tcPr>
            <w:tcW w:w="3348" w:type="dxa"/>
            <w:tcBorders/>
          </w:tcPr>
          <w:p>
            <w:pPr>
              <w:pStyle w:val="Normal"/>
              <w:snapToGrid w:val="false"/>
              <w:rPr/>
            </w:pPr>
            <w:r>
              <w:rPr/>
            </w:r>
          </w:p>
        </w:tc>
        <w:tc>
          <w:tcPr>
            <w:tcW w:w="6228" w:type="dxa"/>
            <w:tcBorders/>
          </w:tcPr>
          <w:p>
            <w:pPr>
              <w:pStyle w:val="Normal"/>
              <w:snapToGrid w:val="false"/>
              <w:rPr/>
            </w:pPr>
            <w:r>
              <w:rPr/>
            </w:r>
          </w:p>
        </w:tc>
      </w:tr>
      <w:tr>
        <w:trPr/>
        <w:tc>
          <w:tcPr>
            <w:tcW w:w="3348" w:type="dxa"/>
            <w:tcBorders/>
          </w:tcPr>
          <w:p>
            <w:pPr>
              <w:pStyle w:val="Normal"/>
              <w:rPr>
                <w:b/>
                <w:bCs/>
              </w:rPr>
            </w:pPr>
            <w:r>
              <w:rPr>
                <w:b/>
                <w:bCs/>
              </w:rPr>
              <w:t>Synthetic Storage Service Fee:</w:t>
            </w:r>
          </w:p>
        </w:tc>
        <w:tc>
          <w:tcPr>
            <w:tcW w:w="6228" w:type="dxa"/>
            <w:tcBorders/>
          </w:tcPr>
          <w:p>
            <w:pPr>
              <w:pStyle w:val="Normal"/>
              <w:tabs>
                <w:tab w:val="clear" w:pos="720"/>
                <w:tab w:val="left" w:pos="3330" w:leader="none"/>
              </w:tabs>
              <w:ind w:hanging="3330" w:start="3330" w:end="0"/>
              <w:jc w:val="both"/>
              <w:rPr/>
            </w:pPr>
            <w:r>
              <w:rPr/>
              <w:t>$0.08 per MMBtu multiplied by the of the MSV or $560,000.</w:t>
            </w:r>
          </w:p>
          <w:p>
            <w:pPr>
              <w:pStyle w:val="Normal"/>
              <w:jc w:val="both"/>
              <w:rPr/>
            </w:pPr>
            <w:r>
              <w:rPr/>
            </w:r>
          </w:p>
        </w:tc>
      </w:tr>
    </w:tbl>
    <w:p>
      <w:pPr>
        <w:pStyle w:val="Normal"/>
        <w:tabs>
          <w:tab w:val="clear" w:pos="720"/>
          <w:tab w:val="left" w:pos="0" w:leader="none"/>
        </w:tabs>
        <w:ind w:hanging="3330" w:start="3330" w:end="0"/>
        <w:jc w:val="both"/>
        <w:rPr/>
      </w:pPr>
      <w:r>
        <w:rPr>
          <w:b/>
          <w:bCs/>
        </w:rPr>
        <w:t>Payment Terms:</w:t>
        <w:tab/>
      </w:r>
      <w:r>
        <w:rPr/>
        <w:t>enovate will bill PG&amp;E for this service each month during the term of this Agreement as a reservation charge. As such, PG&amp;E will pay each month $80,000.00 to enovate by the 25</w:t>
      </w:r>
      <w:r>
        <w:rPr>
          <w:vertAlign w:val="superscript"/>
        </w:rPr>
        <w:t>th</w:t>
      </w:r>
      <w:r>
        <w:rPr/>
        <w:t xml:space="preserve"> day of the month following the service month. </w:t>
      </w:r>
    </w:p>
    <w:p>
      <w:pPr>
        <w:pStyle w:val="Normal"/>
        <w:tabs>
          <w:tab w:val="clear" w:pos="720"/>
          <w:tab w:val="left" w:pos="3330" w:leader="none"/>
        </w:tabs>
        <w:ind w:hanging="3330" w:start="3330" w:end="0"/>
        <w:rPr>
          <w:b/>
          <w:bCs/>
        </w:rPr>
      </w:pPr>
      <w:r>
        <w:rPr>
          <w:b/>
          <w:bCs/>
        </w:rPr>
      </w:r>
    </w:p>
    <w:p>
      <w:pPr>
        <w:pStyle w:val="Normal"/>
        <w:tabs>
          <w:tab w:val="clear" w:pos="720"/>
          <w:tab w:val="left" w:pos="3330" w:leader="none"/>
        </w:tabs>
        <w:ind w:hanging="3330" w:start="3330" w:end="0"/>
        <w:jc w:val="both"/>
        <w:rPr>
          <w:b/>
          <w:bCs/>
        </w:rPr>
      </w:pPr>
      <w:r>
        <w:rPr>
          <w:b/>
          <w:bCs/>
        </w:rPr>
        <w:t>Synthetic Nature of the Service:</w:t>
        <w:tab/>
      </w:r>
      <w:r>
        <w:rPr/>
        <w:t xml:space="preserve">The parties acknowledge that the storage services provided under this Transaction Agreement are synthetic in nature.  enovate will not provide physical storage service. </w:t>
      </w:r>
    </w:p>
    <w:p>
      <w:pPr>
        <w:pStyle w:val="Normal"/>
        <w:tabs>
          <w:tab w:val="clear" w:pos="720"/>
          <w:tab w:val="left" w:pos="3330" w:leader="none"/>
        </w:tabs>
        <w:ind w:hanging="3330" w:start="3330" w:end="0"/>
        <w:jc w:val="both"/>
        <w:rPr>
          <w:b/>
          <w:bCs/>
        </w:rPr>
      </w:pPr>
      <w:r>
        <w:rPr>
          <w:b/>
          <w:bCs/>
        </w:rPr>
      </w:r>
    </w:p>
    <w:p>
      <w:pPr>
        <w:pStyle w:val="Normal"/>
        <w:tabs>
          <w:tab w:val="clear" w:pos="720"/>
          <w:tab w:val="left" w:pos="3330" w:leader="none"/>
        </w:tabs>
        <w:ind w:hanging="3330" w:start="3330" w:end="0"/>
        <w:jc w:val="both"/>
        <w:rPr>
          <w:b/>
          <w:bCs/>
        </w:rPr>
      </w:pPr>
      <w:r>
        <w:rPr>
          <w:b/>
          <w:bCs/>
        </w:rPr>
      </w:r>
    </w:p>
    <w:p>
      <w:pPr>
        <w:pStyle w:val="Normal"/>
        <w:tabs>
          <w:tab w:val="clear" w:pos="720"/>
          <w:tab w:val="left" w:pos="3330" w:leader="none"/>
        </w:tabs>
        <w:ind w:hanging="3330" w:start="3330" w:end="0"/>
        <w:jc w:val="both"/>
        <w:rPr>
          <w:b/>
          <w:bCs/>
        </w:rPr>
      </w:pPr>
      <w:r>
        <w:rPr>
          <w:b/>
          <w:bCs/>
        </w:rPr>
      </w:r>
    </w:p>
    <w:p>
      <w:pPr>
        <w:pStyle w:val="Normal"/>
        <w:jc w:val="both"/>
        <w:rPr/>
      </w:pPr>
      <w:r>
        <w:rPr/>
        <w:t>This Transaction Agreement is being provided pursuant to and in accordance with the Master Firm Purchase/Sales Agreement dated effective as of December 1, 2000 between Customer and Company (the "Agreement"),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Company and Customer by returning an executed copy of this letter to Company.</w:t>
      </w:r>
    </w:p>
    <w:p>
      <w:pPr>
        <w:pStyle w:val="Normal"/>
        <w:rPr/>
      </w:pPr>
      <w:r>
        <w:rPr/>
      </w:r>
    </w:p>
    <w:p>
      <w:pPr>
        <w:pStyle w:val="Heading2"/>
        <w:tabs>
          <w:tab w:val="clear" w:pos="720"/>
          <w:tab w:val="left" w:pos="5760" w:leader="none"/>
        </w:tabs>
        <w:ind w:hanging="5040" w:start="5040" w:end="0"/>
        <w:rPr/>
      </w:pPr>
      <w:r>
        <w:rPr/>
        <w:t>PG&amp;E Energy Trading  – Gas Corporation</w:t>
        <w:tab/>
        <w:t>enovate, L.L.C.</w:t>
      </w:r>
    </w:p>
    <w:p>
      <w:pPr>
        <w:pStyle w:val="Header"/>
        <w:tabs>
          <w:tab w:val="clear" w:pos="4320"/>
          <w:tab w:val="clear" w:pos="8640"/>
        </w:tabs>
        <w:ind w:firstLine="720" w:end="0"/>
        <w:rPr/>
      </w:pPr>
      <w:r>
        <w:rPr/>
        <w:tab/>
        <w:tab/>
        <w:tab/>
        <w:tab/>
        <w:tab/>
        <w:tab/>
        <w:tab/>
      </w:r>
    </w:p>
    <w:p>
      <w:pPr>
        <w:pStyle w:val="Normal"/>
        <w:ind w:firstLine="720" w:start="5040" w:end="0"/>
        <w:rPr/>
      </w:pPr>
      <w:r>
        <w:rPr/>
      </w:r>
    </w:p>
    <w:p>
      <w:pPr>
        <w:pStyle w:val="Header"/>
        <w:tabs>
          <w:tab w:val="clear" w:pos="4320"/>
          <w:tab w:val="clear" w:pos="8640"/>
        </w:tabs>
        <w:rPr/>
      </w:pPr>
      <w:r>
        <w:rPr/>
        <w:t>By: _________________________________</w:t>
        <w:tab/>
        <w:t>By: __________________________</w:t>
      </w:r>
    </w:p>
    <w:p>
      <w:pPr>
        <w:pStyle w:val="Header"/>
        <w:tabs>
          <w:tab w:val="clear" w:pos="4320"/>
          <w:tab w:val="clear" w:pos="8640"/>
        </w:tabs>
        <w:rPr/>
      </w:pPr>
      <w:r>
        <w:rPr/>
        <w:t>Title ________________________________</w:t>
        <w:tab/>
        <w:t>Title _________________________</w:t>
      </w:r>
    </w:p>
    <w:p>
      <w:pPr>
        <w:pStyle w:val="Header"/>
        <w:tabs>
          <w:tab w:val="clear" w:pos="4320"/>
          <w:tab w:val="clear" w:pos="8640"/>
        </w:tabs>
        <w:rPr/>
      </w:pPr>
      <w:r>
        <w:rPr/>
        <w:t>Date_________________________________</w:t>
        <w:tab/>
        <w:t>Date _________________________</w:t>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/mnt/main-storage/datasets/enron-docs/doc/PG_EConfirm2.doc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/mnt/main-storage/datasets/enron-docs/doc/PG_EConfirm2.doc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PG&amp;E Energy Trading – Gas Corporation</w:t>
    </w:r>
  </w:p>
  <w:p>
    <w:pPr>
      <w:pStyle w:val="Header"/>
      <w:rPr/>
    </w:pPr>
    <w:r>
      <w:rPr/>
      <w:t>March 5,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3330" w:leader="none"/>
      </w:tabs>
      <w:ind w:hanging="3330" w:start="3330" w:end="0"/>
      <w:jc w:val="both"/>
      <w:outlineLvl w:val="3"/>
    </w:pPr>
    <w:rPr>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18" w:start="0" w:end="0"/>
      <w:jc w:val="both"/>
    </w:pPr>
    <w:rPr/>
  </w:style>
  <w:style w:type="paragraph" w:styleId="BodyTextIndent3">
    <w:name w:val="Body Text Indent 3"/>
    <w:basedOn w:val="Normal"/>
    <w:qFormat/>
    <w:pPr>
      <w:tabs>
        <w:tab w:val="clear" w:pos="720"/>
        <w:tab w:val="left" w:pos="5040" w:leader="none"/>
        <w:tab w:val="left" w:pos="5760" w:leader="none"/>
      </w:tabs>
      <w:ind w:hanging="720" w:start="5760" w:end="0"/>
      <w:jc w:val="both"/>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2001-03-09T17:19:00Z</dcterms:created>
  <dc:creator>ECT</dc:creator>
  <dc:description/>
  <dc:language>en-CA</dc:language>
  <cp:lastModifiedBy>sdickso</cp:lastModifiedBy>
  <cp:lastPrinted>2001-03-05T12:44:00Z</cp:lastPrinted>
  <dcterms:modified xsi:type="dcterms:W3CDTF">2001-03-09T18:02:00Z</dcterms:modified>
  <cp:revision>3</cp:revision>
  <dc:subject>El Paso Merchant Energy, L.P.</dc:subject>
  <dc:title>QL7588.1</dc:title>
</cp:coreProperties>
</file>