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PG&amp;E</w:t>
      </w:r>
    </w:p>
    <w:p>
      <w:pPr>
        <w:pStyle w:val="Normal"/>
        <w:rPr>
          <w:b/>
          <w:bCs/>
          <w:sz w:val="20"/>
        </w:rPr>
      </w:pPr>
      <w:r>
        <w:rPr>
          <w:b/>
          <w:bCs/>
          <w:sz w:val="20"/>
        </w:rPr>
      </w:r>
    </w:p>
    <w:p>
      <w:pPr>
        <w:pStyle w:val="Normal"/>
        <w:rPr>
          <w:sz w:val="20"/>
        </w:rPr>
      </w:pPr>
      <w:r>
        <w:rPr>
          <w:sz w:val="20"/>
        </w:rPr>
        <w:tab/>
        <w:t>8.</w:t>
      </w:r>
    </w:p>
    <w:p>
      <w:pPr>
        <w:pStyle w:val="Normal"/>
        <w:rPr>
          <w:sz w:val="20"/>
        </w:rPr>
      </w:pPr>
      <w:r>
        <w:rPr>
          <w:sz w:val="20"/>
        </w:rPr>
      </w:r>
    </w:p>
    <w:p>
      <w:pPr>
        <w:pStyle w:val="BodyTextIndent"/>
        <w:rPr/>
      </w:pPr>
      <w:r>
        <w:rPr/>
        <w:tab/>
        <w:t>Master Netting, Setoff, and Security Agreement by and among Enron North America Corp., Enron Canada Corp., Enron Power Marketing, Inc., Enron Energy Services, Inc., Enron Coal Services Limited, Enron Energy Marketing Corp., and Houston Pipe Line Company (the “Enron Parties”) and PG&amp;E Energy Trading-Gas Corporation, PG&amp;E Energy Trading Canada Corporation, PG&amp;E Energy Trading-Power, L.P., and CEG Energy Options Inc. (the “PG&amp;E Parties”) dated as of February 2, 2001</w:t>
      </w:r>
    </w:p>
    <w:p>
      <w:pPr>
        <w:pStyle w:val="Normal"/>
        <w:ind w:hanging="720" w:start="720" w:end="0"/>
        <w:jc w:val="both"/>
        <w:rPr>
          <w:sz w:val="20"/>
        </w:rPr>
      </w:pPr>
      <w:r>
        <w:rPr>
          <w:sz w:val="20"/>
        </w:rPr>
      </w:r>
    </w:p>
    <w:p>
      <w:pPr>
        <w:pStyle w:val="BodyTextIndent"/>
        <w:rPr/>
      </w:pPr>
      <w:r>
        <w:rPr/>
        <w:tab/>
        <w:t>First Amendment to Master Netting, Setoff, and Security Agreement by and among the Enron Parties and the PG&amp;E Parties dated as of April 19, 2001</w:t>
      </w:r>
    </w:p>
    <w:p>
      <w:pPr>
        <w:pStyle w:val="Normal"/>
        <w:ind w:hanging="720" w:start="720" w:end="0"/>
        <w:jc w:val="both"/>
        <w:rPr>
          <w:sz w:val="20"/>
        </w:rPr>
      </w:pPr>
      <w:r>
        <w:rPr>
          <w:sz w:val="20"/>
        </w:rPr>
      </w:r>
    </w:p>
    <w:p>
      <w:pPr>
        <w:pStyle w:val="BodyTextIndent"/>
        <w:rPr/>
      </w:pPr>
      <w:r>
        <w:rPr/>
        <w:tab/>
        <w:t>Second Amendment to Master Netting, Setoff, and Security Agreement by and among the Enron Parties and the PG&amp;E Parties dated as of June 15, 2001</w:t>
      </w:r>
    </w:p>
    <w:p>
      <w:pPr>
        <w:pStyle w:val="BodyTextIndent"/>
        <w:rPr/>
      </w:pPr>
      <w:r>
        <w:rPr/>
      </w:r>
    </w:p>
    <w:p>
      <w:pPr>
        <w:pStyle w:val="BodyTextIndent"/>
        <w:rPr/>
      </w:pPr>
      <w:r>
        <w:rPr/>
        <w:tab/>
        <w:t>Third Amendment to Master Netting, Setoff, and Security Agreement by and among the Enron Parties and the PG&amp;E Parties dated as of July 15, 2001</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2002-01-16T18:08:00Z</dcterms:created>
  <dc:creator>spanus</dc:creator>
  <dc:description/>
  <dc:language>en-CA</dc:language>
  <cp:lastModifiedBy>spanus</cp:lastModifiedBy>
  <dcterms:modified xsi:type="dcterms:W3CDTF">2002-01-16T18:40:00Z</dcterms:modified>
  <cp:revision>1</cp:revision>
  <dc:subject/>
  <dc:title>PG&amp;E</dc:title>
</cp:coreProperties>
</file>