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pPr>
      <w:r>
        <w:rPr/>
      </w:r>
    </w:p>
    <w:tbl>
      <w:tblPr>
        <w:tblW w:w="9713" w:type="dxa"/>
        <w:jc w:val="start"/>
        <w:tblInd w:w="200" w:type="dxa"/>
        <w:tblLayout w:type="fixed"/>
        <w:tblCellMar>
          <w:top w:w="0" w:type="dxa"/>
          <w:start w:w="108" w:type="dxa"/>
          <w:bottom w:w="0" w:type="dxa"/>
          <w:end w:w="108" w:type="dxa"/>
        </w:tblCellMar>
      </w:tblPr>
      <w:tblGrid>
        <w:gridCol w:w="708"/>
        <w:gridCol w:w="5050"/>
        <w:gridCol w:w="990"/>
        <w:gridCol w:w="2965"/>
      </w:tblGrid>
      <w:tr>
        <w:trPr>
          <w:trHeight w:val="240" w:hRule="exact"/>
        </w:trPr>
        <w:tc>
          <w:tcPr>
            <w:tcW w:w="708" w:type="dxa"/>
            <w:tcBorders/>
          </w:tcPr>
          <w:p>
            <w:pPr>
              <w:pStyle w:val="Normal"/>
              <w:ind w:start="-180" w:end="0"/>
              <w:jc w:val="end"/>
              <w:rPr>
                <w:rFonts w:ascii="Arial" w:hAnsi="Arial" w:cs="Arial"/>
                <w:sz w:val="16"/>
              </w:rPr>
            </w:pPr>
            <w:bookmarkStart w:id="0" w:name="StartOfMemo"/>
            <w:bookmarkEnd w:id="0"/>
            <w:r>
              <w:rPr>
                <w:rFonts w:cs="Arial" w:ascii="Arial" w:hAnsi="Arial"/>
                <w:sz w:val="16"/>
              </w:rPr>
              <w:t>To:</w:t>
            </w:r>
          </w:p>
        </w:tc>
        <w:tc>
          <w:tcPr>
            <w:tcW w:w="5050" w:type="dxa"/>
            <w:tcBorders/>
          </w:tcPr>
          <w:p>
            <w:pPr>
              <w:pStyle w:val="To"/>
              <w:rPr/>
            </w:pPr>
            <w:r>
              <w:rPr/>
              <w:t>Travis McCullough</w:t>
            </w:r>
          </w:p>
          <w:p>
            <w:pPr>
              <w:pStyle w:val="To"/>
              <w:rPr/>
            </w:pPr>
            <w:r>
              <w:rPr/>
            </w:r>
          </w:p>
        </w:tc>
        <w:tc>
          <w:tcPr>
            <w:tcW w:w="3955" w:type="dxa"/>
            <w:gridSpan w:val="2"/>
            <w:tcBorders/>
          </w:tcPr>
          <w:p>
            <w:pPr>
              <w:pStyle w:val="Normal"/>
              <w:rPr>
                <w:rFonts w:ascii="Arial" w:hAnsi="Arial" w:cs="Arial"/>
                <w:b/>
                <w:smallCaps/>
              </w:rPr>
            </w:pPr>
            <w:r>
              <w:rPr>
                <w:rFonts w:cs="Arial" w:ascii="Arial" w:hAnsi="Arial"/>
                <w:b/>
                <w:smallCaps/>
              </w:rPr>
              <w:t xml:space="preserve">Privileged and Confidential; </w:t>
            </w:r>
          </w:p>
        </w:tc>
      </w:tr>
      <w:tr>
        <w:trPr>
          <w:trHeight w:val="240" w:hRule="exact"/>
        </w:trPr>
        <w:tc>
          <w:tcPr>
            <w:tcW w:w="708" w:type="dxa"/>
            <w:tcBorders/>
          </w:tcPr>
          <w:p>
            <w:pPr>
              <w:pStyle w:val="Normal"/>
              <w:snapToGrid w:val="false"/>
              <w:ind w:start="-180" w:end="0"/>
              <w:jc w:val="end"/>
              <w:rPr>
                <w:rFonts w:ascii="Arial" w:hAnsi="Arial" w:cs="Arial"/>
                <w:b/>
                <w:smallCaps/>
                <w:sz w:val="16"/>
              </w:rPr>
            </w:pPr>
            <w:r>
              <w:rPr>
                <w:rFonts w:cs="Arial" w:ascii="Arial" w:hAnsi="Arial"/>
                <w:b/>
                <w:smallCaps/>
                <w:sz w:val="16"/>
              </w:rPr>
            </w:r>
          </w:p>
        </w:tc>
        <w:tc>
          <w:tcPr>
            <w:tcW w:w="5050" w:type="dxa"/>
            <w:tcBorders/>
          </w:tcPr>
          <w:p>
            <w:pPr>
              <w:pStyle w:val="To"/>
              <w:rPr/>
            </w:pPr>
            <w:r>
              <w:rPr/>
              <w:t xml:space="preserve">Elizabeth Sager </w:t>
            </w:r>
          </w:p>
        </w:tc>
        <w:tc>
          <w:tcPr>
            <w:tcW w:w="3955" w:type="dxa"/>
            <w:gridSpan w:val="2"/>
            <w:tcBorders/>
          </w:tcPr>
          <w:p>
            <w:pPr>
              <w:pStyle w:val="Normal"/>
              <w:ind w:end="1242"/>
              <w:rPr>
                <w:rFonts w:ascii="Arial" w:hAnsi="Arial" w:cs="Arial"/>
                <w:b/>
                <w:smallCaps/>
              </w:rPr>
            </w:pPr>
            <w:r>
              <w:rPr>
                <w:rFonts w:cs="Arial" w:ascii="Arial" w:hAnsi="Arial"/>
                <w:b/>
                <w:smallCaps/>
              </w:rPr>
              <w:t xml:space="preserve">Attorney Client Work Product; </w:t>
            </w:r>
          </w:p>
        </w:tc>
      </w:tr>
      <w:tr>
        <w:trPr>
          <w:trHeight w:val="240" w:hRule="exact"/>
        </w:trPr>
        <w:tc>
          <w:tcPr>
            <w:tcW w:w="708" w:type="dxa"/>
            <w:tcBorders/>
          </w:tcPr>
          <w:p>
            <w:pPr>
              <w:pStyle w:val="Normal"/>
              <w:snapToGrid w:val="false"/>
              <w:ind w:start="-180" w:end="0"/>
              <w:jc w:val="end"/>
              <w:rPr>
                <w:rFonts w:ascii="Arial" w:hAnsi="Arial" w:cs="Arial"/>
                <w:b/>
                <w:smallCaps/>
                <w:sz w:val="16"/>
              </w:rPr>
            </w:pPr>
            <w:r>
              <w:rPr>
                <w:rFonts w:cs="Arial" w:ascii="Arial" w:hAnsi="Arial"/>
                <w:b/>
                <w:smallCaps/>
                <w:sz w:val="16"/>
              </w:rPr>
            </w:r>
          </w:p>
        </w:tc>
        <w:tc>
          <w:tcPr>
            <w:tcW w:w="5050" w:type="dxa"/>
            <w:tcBorders/>
          </w:tcPr>
          <w:p>
            <w:pPr>
              <w:pStyle w:val="To"/>
              <w:snapToGrid w:val="false"/>
              <w:rPr>
                <w:rFonts w:ascii="Arial" w:hAnsi="Arial" w:cs="Arial"/>
                <w:sz w:val="16"/>
              </w:rPr>
            </w:pPr>
            <w:r>
              <w:rPr>
                <w:rFonts w:cs="Arial"/>
                <w:sz w:val="16"/>
              </w:rPr>
            </w:r>
          </w:p>
        </w:tc>
        <w:tc>
          <w:tcPr>
            <w:tcW w:w="3955" w:type="dxa"/>
            <w:gridSpan w:val="2"/>
            <w:tcBorders/>
          </w:tcPr>
          <w:p>
            <w:pPr>
              <w:pStyle w:val="Normal"/>
              <w:rPr>
                <w:rFonts w:ascii="Arial" w:hAnsi="Arial" w:cs="Arial"/>
                <w:b/>
                <w:smallCaps/>
              </w:rPr>
            </w:pPr>
            <w:r>
              <w:rPr>
                <w:rFonts w:cs="Arial" w:ascii="Arial" w:hAnsi="Arial"/>
                <w:b/>
                <w:smallCaps/>
              </w:rPr>
              <w:t>Not Discoverable</w:t>
            </w:r>
          </w:p>
        </w:tc>
      </w:tr>
      <w:tr>
        <w:trPr>
          <w:trHeight w:val="240" w:hRule="exact"/>
        </w:trPr>
        <w:tc>
          <w:tcPr>
            <w:tcW w:w="708" w:type="dxa"/>
            <w:tcBorders/>
          </w:tcPr>
          <w:p>
            <w:pPr>
              <w:pStyle w:val="Normal"/>
              <w:snapToGrid w:val="false"/>
              <w:ind w:start="-180" w:end="0"/>
              <w:jc w:val="end"/>
              <w:rPr>
                <w:rFonts w:ascii="Arial" w:hAnsi="Arial" w:cs="Arial"/>
                <w:b/>
                <w:smallCaps/>
                <w:sz w:val="16"/>
              </w:rPr>
            </w:pPr>
            <w:r>
              <w:rPr>
                <w:rFonts w:cs="Arial" w:ascii="Arial" w:hAnsi="Arial"/>
                <w:b/>
                <w:smallCaps/>
                <w:sz w:val="16"/>
              </w:rPr>
            </w:r>
          </w:p>
        </w:tc>
        <w:tc>
          <w:tcPr>
            <w:tcW w:w="5050" w:type="dxa"/>
            <w:tcBorders/>
          </w:tcPr>
          <w:p>
            <w:pPr>
              <w:pStyle w:val="To"/>
              <w:snapToGrid w:val="false"/>
              <w:rPr>
                <w:rFonts w:ascii="Arial" w:hAnsi="Arial" w:cs="Arial"/>
                <w:sz w:val="16"/>
              </w:rPr>
            </w:pPr>
            <w:r>
              <w:rPr>
                <w:rFonts w:cs="Arial"/>
                <w:sz w:val="16"/>
              </w:rPr>
            </w:r>
          </w:p>
        </w:tc>
        <w:tc>
          <w:tcPr>
            <w:tcW w:w="990" w:type="dxa"/>
            <w:tcBorders/>
          </w:tcPr>
          <w:p>
            <w:pPr>
              <w:pStyle w:val="Normal"/>
              <w:snapToGrid w:val="false"/>
              <w:ind w:start="-180" w:end="0"/>
              <w:rPr>
                <w:rFonts w:ascii="Arial" w:hAnsi="Arial" w:cs="Arial"/>
              </w:rPr>
            </w:pPr>
            <w:r>
              <w:rPr>
                <w:rFonts w:cs="Arial" w:ascii="Arial" w:hAnsi="Arial"/>
              </w:rPr>
            </w:r>
          </w:p>
        </w:tc>
        <w:tc>
          <w:tcPr>
            <w:tcW w:w="2965" w:type="dxa"/>
            <w:tcBorders/>
          </w:tcPr>
          <w:p>
            <w:pPr>
              <w:pStyle w:val="Normal"/>
              <w:snapToGrid w:val="false"/>
              <w:rPr>
                <w:rFonts w:ascii="Arial" w:hAnsi="Arial" w:cs="Arial"/>
              </w:rPr>
            </w:pPr>
            <w:r>
              <w:rPr>
                <w:rFonts w:cs="Arial" w:ascii="Arial" w:hAnsi="Arial"/>
              </w:rPr>
            </w:r>
          </w:p>
        </w:tc>
      </w:tr>
      <w:tr>
        <w:trPr>
          <w:trHeight w:val="300" w:hRule="exact"/>
        </w:trPr>
        <w:tc>
          <w:tcPr>
            <w:tcW w:w="708" w:type="dxa"/>
            <w:tcBorders/>
          </w:tcPr>
          <w:p>
            <w:pPr>
              <w:pStyle w:val="Normal"/>
              <w:ind w:start="-180" w:end="0"/>
              <w:jc w:val="end"/>
              <w:rPr>
                <w:rFonts w:ascii="Arial" w:hAnsi="Arial" w:cs="Arial"/>
                <w:sz w:val="16"/>
              </w:rPr>
            </w:pPr>
            <w:r>
              <w:rPr>
                <w:rFonts w:cs="Arial" w:ascii="Arial" w:hAnsi="Arial"/>
                <w:sz w:val="16"/>
              </w:rPr>
              <w:t>From:</w:t>
            </w:r>
          </w:p>
        </w:tc>
        <w:tc>
          <w:tcPr>
            <w:tcW w:w="5050" w:type="dxa"/>
            <w:tcBorders/>
          </w:tcPr>
          <w:p>
            <w:pPr>
              <w:pStyle w:val="From"/>
              <w:rPr/>
            </w:pPr>
            <w:r>
              <w:rPr/>
              <w:t>Shari Stack, 3805A</w:t>
            </w:r>
          </w:p>
        </w:tc>
        <w:tc>
          <w:tcPr>
            <w:tcW w:w="990" w:type="dxa"/>
            <w:tcBorders/>
          </w:tcPr>
          <w:p>
            <w:pPr>
              <w:pStyle w:val="Normal"/>
              <w:ind w:start="-180" w:end="0"/>
              <w:jc w:val="end"/>
              <w:rPr>
                <w:rFonts w:ascii="Arial" w:hAnsi="Arial" w:cs="Arial"/>
                <w:sz w:val="16"/>
              </w:rPr>
            </w:pPr>
            <w:r>
              <w:rPr>
                <w:rFonts w:cs="Arial" w:ascii="Arial" w:hAnsi="Arial"/>
                <w:sz w:val="16"/>
              </w:rPr>
              <w:t>Department:</w:t>
            </w:r>
          </w:p>
        </w:tc>
        <w:tc>
          <w:tcPr>
            <w:tcW w:w="2965" w:type="dxa"/>
            <w:tcBorders/>
          </w:tcPr>
          <w:p>
            <w:pPr>
              <w:pStyle w:val="Department"/>
              <w:rPr/>
            </w:pPr>
            <w:bookmarkStart w:id="1" w:name="From"/>
            <w:bookmarkEnd w:id="1"/>
            <w:r>
              <w:rPr/>
              <w:t>ENA Legal</w:t>
            </w:r>
          </w:p>
          <w:p>
            <w:pPr>
              <w:pStyle w:val="Department"/>
              <w:rPr/>
            </w:pPr>
            <w:r>
              <w:rPr/>
            </w:r>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ascii="Arial" w:hAnsi="Arial"/>
                <w:sz w:val="18"/>
              </w:rPr>
            </w:r>
          </w:p>
        </w:tc>
        <w:tc>
          <w:tcPr>
            <w:tcW w:w="5050" w:type="dxa"/>
            <w:tcBorders/>
          </w:tcPr>
          <w:p>
            <w:pPr>
              <w:pStyle w:val="Normal"/>
              <w:snapToGrid w:val="false"/>
              <w:rPr>
                <w:rFonts w:ascii="Arial" w:hAnsi="Arial" w:cs="Arial"/>
                <w:sz w:val="18"/>
              </w:rPr>
            </w:pPr>
            <w:r>
              <w:rPr>
                <w:rFonts w:cs="Arial" w:ascii="Arial" w:hAnsi="Arial"/>
                <w:sz w:val="18"/>
              </w:rPr>
            </w:r>
          </w:p>
        </w:tc>
        <w:tc>
          <w:tcPr>
            <w:tcW w:w="990" w:type="dxa"/>
            <w:tcBorders/>
          </w:tcPr>
          <w:p>
            <w:pPr>
              <w:pStyle w:val="Normal"/>
              <w:snapToGrid w:val="false"/>
              <w:ind w:start="-180" w:end="0"/>
              <w:rPr>
                <w:rFonts w:ascii="Arial" w:hAnsi="Arial" w:cs="Arial"/>
                <w:sz w:val="18"/>
              </w:rPr>
            </w:pPr>
            <w:r>
              <w:rPr>
                <w:rFonts w:cs="Arial" w:ascii="Arial" w:hAnsi="Arial"/>
                <w:sz w:val="18"/>
              </w:rPr>
            </w:r>
          </w:p>
        </w:tc>
        <w:tc>
          <w:tcPr>
            <w:tcW w:w="2965" w:type="dxa"/>
            <w:tcBorders/>
          </w:tcPr>
          <w:p>
            <w:pPr>
              <w:pStyle w:val="Normal"/>
              <w:snapToGrid w:val="false"/>
              <w:rPr>
                <w:rFonts w:ascii="Arial" w:hAnsi="Arial" w:cs="Arial"/>
                <w:sz w:val="18"/>
              </w:rPr>
            </w:pPr>
            <w:r>
              <w:rPr>
                <w:rFonts w:cs="Arial" w:ascii="Arial" w:hAnsi="Arial"/>
                <w:sz w:val="18"/>
              </w:rPr>
            </w:r>
          </w:p>
        </w:tc>
      </w:tr>
      <w:tr>
        <w:trPr>
          <w:trHeight w:val="600" w:hRule="exact"/>
        </w:trPr>
        <w:tc>
          <w:tcPr>
            <w:tcW w:w="708" w:type="dxa"/>
            <w:tcBorders>
              <w:bottom w:val="single" w:sz="12" w:space="0" w:color="000000"/>
            </w:tcBorders>
          </w:tcPr>
          <w:p>
            <w:pPr>
              <w:pStyle w:val="Normal"/>
              <w:ind w:start="-180" w:end="0"/>
              <w:jc w:val="end"/>
              <w:rPr>
                <w:rFonts w:ascii="Arial" w:hAnsi="Arial" w:cs="Arial"/>
                <w:sz w:val="16"/>
              </w:rPr>
            </w:pPr>
            <w:r>
              <w:rPr>
                <w:rFonts w:cs="Arial" w:ascii="Arial" w:hAnsi="Arial"/>
                <w:sz w:val="16"/>
              </w:rPr>
              <w:t>Re:</w:t>
            </w:r>
          </w:p>
        </w:tc>
        <w:tc>
          <w:tcPr>
            <w:tcW w:w="5050" w:type="dxa"/>
            <w:tcBorders>
              <w:bottom w:val="single" w:sz="12" w:space="0" w:color="000000"/>
            </w:tcBorders>
          </w:tcPr>
          <w:p>
            <w:pPr>
              <w:pStyle w:val="Subject"/>
              <w:rPr>
                <w:bCs/>
              </w:rPr>
            </w:pPr>
            <w:r>
              <w:rPr>
                <w:bCs/>
              </w:rPr>
              <w:t>PG&amp;E – Contractual situation</w:t>
            </w:r>
          </w:p>
        </w:tc>
        <w:tc>
          <w:tcPr>
            <w:tcW w:w="990" w:type="dxa"/>
            <w:tcBorders>
              <w:bottom w:val="single" w:sz="12" w:space="0" w:color="000000"/>
            </w:tcBorders>
          </w:tcPr>
          <w:p>
            <w:pPr>
              <w:pStyle w:val="Normal"/>
              <w:ind w:start="-180" w:end="0"/>
              <w:jc w:val="end"/>
              <w:rPr>
                <w:rFonts w:ascii="Arial" w:hAnsi="Arial" w:cs="Arial"/>
                <w:sz w:val="16"/>
              </w:rPr>
            </w:pPr>
            <w:r>
              <w:rPr>
                <w:rFonts w:cs="Arial" w:ascii="Arial" w:hAnsi="Arial"/>
                <w:sz w:val="16"/>
              </w:rPr>
              <w:t>Date:</w:t>
            </w:r>
          </w:p>
        </w:tc>
        <w:tc>
          <w:tcPr>
            <w:tcW w:w="2965" w:type="dxa"/>
            <w:tcBorders>
              <w:bottom w:val="single" w:sz="12" w:space="0" w:color="000000"/>
            </w:tcBorders>
          </w:tcPr>
          <w:p>
            <w:pPr>
              <w:pStyle w:val="Date"/>
              <w:rPr/>
            </w:pPr>
            <w:r>
              <w:rPr/>
              <w:t>January 9, 2001</w:t>
            </w:r>
          </w:p>
        </w:tc>
      </w:tr>
    </w:tbl>
    <w:p>
      <w:pPr>
        <w:pStyle w:val="Normal"/>
        <w:rPr>
          <w:rFonts w:ascii="Arial" w:hAnsi="Arial" w:cs="Arial"/>
        </w:rPr>
      </w:pPr>
      <w:r>
        <w:rPr>
          <w:rFonts w:cs="Arial" w:ascii="Arial" w:hAnsi="Arial"/>
        </w:rPr>
      </w:r>
    </w:p>
    <w:p>
      <w:pPr>
        <w:pStyle w:val="Normal"/>
        <w:ind w:end="-630"/>
        <w:rPr>
          <w:rFonts w:ascii="Arial" w:hAnsi="Arial" w:cs="Arial"/>
        </w:rPr>
      </w:pPr>
      <w:r>
        <w:rPr>
          <w:rFonts w:cs="Arial" w:ascii="Arial" w:hAnsi="Arial"/>
        </w:rPr>
        <w:t xml:space="preserve">With regard to physical power, EPMI has outstanding transactions under the following master agreements: </w:t>
      </w:r>
    </w:p>
    <w:p>
      <w:pPr>
        <w:pStyle w:val="Header"/>
        <w:tabs>
          <w:tab w:val="clear" w:pos="4320"/>
          <w:tab w:val="clear" w:pos="8640"/>
        </w:tabs>
        <w:rPr>
          <w:rFonts w:ascii="Arial" w:hAnsi="Arial" w:cs="Arial"/>
        </w:rPr>
      </w:pPr>
      <w:r>
        <w:rPr>
          <w:rFonts w:cs="Arial" w:ascii="Arial" w:hAnsi="Arial"/>
        </w:rPr>
      </w:r>
    </w:p>
    <w:p>
      <w:pPr>
        <w:pStyle w:val="Heading3"/>
        <w:ind w:hanging="0" w:start="0"/>
        <w:rPr/>
      </w:pPr>
      <w:r>
        <w:rPr/>
        <w:t>I.  EPMI – Pacific Gas and Electric Company</w:t>
      </w:r>
    </w:p>
    <w:p>
      <w:pPr>
        <w:pStyle w:val="Normal"/>
        <w:rPr>
          <w:rFonts w:ascii="Arial" w:hAnsi="Arial" w:cs="Arial"/>
        </w:rPr>
      </w:pPr>
      <w:r>
        <w:rPr>
          <w:rFonts w:cs="Arial" w:ascii="Arial" w:hAnsi="Arial"/>
        </w:rPr>
      </w:r>
    </w:p>
    <w:p>
      <w:pPr>
        <w:pStyle w:val="Normal"/>
        <w:jc w:val="both"/>
        <w:rPr/>
      </w:pPr>
      <w:r>
        <w:rPr>
          <w:rFonts w:cs="Arial" w:ascii="Arial" w:hAnsi="Arial"/>
          <w:b/>
          <w:bCs/>
        </w:rPr>
        <w:t>Name of Agreement:</w:t>
      </w:r>
      <w:r>
        <w:rPr>
          <w:rFonts w:cs="Arial" w:ascii="Arial" w:hAnsi="Arial"/>
        </w:rPr>
        <w:t xml:space="preserve"> Master Power Purchase and Sale Agreement </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Date of Agreement:</w:t>
      </w:r>
      <w:r>
        <w:rPr>
          <w:rFonts w:cs="Arial" w:ascii="Arial" w:hAnsi="Arial"/>
        </w:rPr>
        <w:t xml:space="preserve"> October 9, 2000 </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 xml:space="preserve">Amended subsequently: </w:t>
      </w:r>
      <w:r>
        <w:rPr>
          <w:rFonts w:cs="Arial" w:ascii="Arial" w:hAnsi="Arial"/>
        </w:rPr>
        <w:t>No</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Governing Law:</w:t>
      </w:r>
      <w:r>
        <w:rPr>
          <w:rFonts w:cs="Arial" w:ascii="Arial" w:hAnsi="Arial"/>
        </w:rPr>
        <w:t xml:space="preserve"> New York  (Section 10.6)</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Set-Off:</w:t>
      </w:r>
      <w:r>
        <w:rPr>
          <w:rFonts w:cs="Arial" w:ascii="Arial" w:hAnsi="Arial"/>
        </w:rPr>
        <w:t xml:space="preserve"> The parties are allowed to set-off against the Termination Payment any amounts due and owing by the Defaulting Party to the Non-Defaulting Party </w:t>
      </w:r>
      <w:r>
        <w:rPr>
          <w:rFonts w:cs="Arial" w:ascii="Arial" w:hAnsi="Arial"/>
          <w:u w:val="single"/>
        </w:rPr>
        <w:t>under any other agreements, instruments or undertakings</w:t>
      </w:r>
      <w:r>
        <w:rPr>
          <w:rFonts w:cs="Arial" w:ascii="Arial" w:hAnsi="Arial"/>
        </w:rPr>
        <w:t xml:space="preserve"> between the Defaulting Party and the Non-Defaulting Party (which shall include any natural gas purchase and sale agreements between PG&amp;E and EPMI’s Affiliates). However, there is an </w:t>
      </w:r>
      <w:r>
        <w:rPr>
          <w:rFonts w:cs="Arial" w:ascii="Arial" w:hAnsi="Arial"/>
          <w:u w:val="single"/>
        </w:rPr>
        <w:t>explicit</w:t>
      </w:r>
      <w:r>
        <w:rPr>
          <w:rFonts w:cs="Arial" w:ascii="Arial" w:hAnsi="Arial"/>
        </w:rPr>
        <w:t xml:space="preserve"> carve-out which prevents setting off amounts owed between the parties in connection with an ISDA Agreement (derivatives agreement). (Section 5.6 Option A, as amended) </w:t>
      </w:r>
    </w:p>
    <w:p>
      <w:pPr>
        <w:pStyle w:val="Normal"/>
        <w:jc w:val="both"/>
        <w:rPr>
          <w:rFonts w:ascii="Arial" w:hAnsi="Arial" w:cs="Arial"/>
        </w:rPr>
      </w:pPr>
      <w:r>
        <w:rPr>
          <w:rFonts w:cs="Arial" w:ascii="Arial" w:hAnsi="Arial"/>
        </w:rPr>
      </w:r>
    </w:p>
    <w:p>
      <w:pPr>
        <w:pStyle w:val="Normal"/>
        <w:jc w:val="both"/>
        <w:rPr/>
      </w:pPr>
      <w:r>
        <w:rPr>
          <w:rFonts w:cs="Arial" w:ascii="Arial" w:hAnsi="Arial"/>
          <w:b/>
          <w:bCs/>
        </w:rPr>
        <w:t>Cherry picking</w:t>
      </w:r>
      <w:r>
        <w:rPr>
          <w:rFonts w:cs="Arial" w:ascii="Arial" w:hAnsi="Arial"/>
        </w:rPr>
        <w:t xml:space="preserve">: No; upon the designation of an Early Termination Date, the Non-Defaulting Party must terminate </w:t>
      </w:r>
      <w:r>
        <w:rPr>
          <w:rFonts w:cs="Arial" w:ascii="Arial" w:hAnsi="Arial"/>
          <w:u w:val="single"/>
        </w:rPr>
        <w:t>all</w:t>
      </w:r>
      <w:r>
        <w:rPr>
          <w:rFonts w:cs="Arial" w:ascii="Arial" w:hAnsi="Arial"/>
        </w:rPr>
        <w:t xml:space="preserve"> Transactions. (Section 5.2)</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Termination:</w:t>
      </w:r>
      <w:r>
        <w:rPr>
          <w:rFonts w:cs="Arial" w:ascii="Arial" w:hAnsi="Arial"/>
        </w:rPr>
        <w:t xml:space="preserve"> Bankruptcy is an Event of Default under the agreement. If any Event of Default has occurred and is continuing, the Non-Defaulting Party must actively designate an Early Termination Date as the date on which all transactions will be terminated. (There is no automatic termination upon the occurrence of a bankruptcy situation.)   (Sections 5.1 and 5.2)</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Termination Payment:</w:t>
      </w:r>
      <w:r>
        <w:rPr>
          <w:rFonts w:cs="Arial" w:ascii="Arial" w:hAnsi="Arial"/>
        </w:rPr>
        <w:t xml:space="preserve"> Liquidated damages are computed by reference to market prices or prices “which are reasonably expected to be available in the market for a replacement contract”.  There is no provision which would allow the Non-Defaulting Party to use its internal pricing curves to ascertain the replacement value, even if it is not possible to obtain a market quotation. Please note that the Agreement will allow the Non-Defaulting Party to add into the calculation any costs it has sustained due to the early termination of the Transaction(s) (such as broken hedges, attorney fees, etc…  see the definition of “Costs”).  (Section 5.2, as amended)</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Two-Way Payments:</w:t>
      </w:r>
      <w:r>
        <w:rPr>
          <w:rFonts w:cs="Arial" w:ascii="Arial" w:hAnsi="Arial"/>
        </w:rPr>
        <w:t xml:space="preserve"> Provided for. However, the agreement provides that if the Non-Defaulting Party is the net payer, it is not required to pay the Defaulting Party until it receives confirmation that the Defaulting Party has satisfied all obligations to (i) the Non-Defaulting Party under this Agreement and (ii) the Non-Defaulting Party and the Non-Defaulting Party’s Affiliates under any physical natural gas agreements which are due and payable.  (Section 5.4, as amended)</w:t>
      </w:r>
    </w:p>
    <w:p>
      <w:pPr>
        <w:pStyle w:val="Normal"/>
        <w:jc w:val="both"/>
        <w:rPr>
          <w:rFonts w:ascii="Arial" w:hAnsi="Arial" w:cs="Arial"/>
        </w:rPr>
      </w:pPr>
      <w:r>
        <w:rPr>
          <w:rFonts w:cs="Arial" w:ascii="Arial" w:hAnsi="Arial"/>
        </w:rPr>
      </w:r>
    </w:p>
    <w:p>
      <w:pPr>
        <w:pStyle w:val="Normal"/>
        <w:jc w:val="both"/>
        <w:rPr/>
      </w:pPr>
      <w:r>
        <w:rPr>
          <w:rFonts w:cs="Arial" w:ascii="Arial" w:hAnsi="Arial"/>
          <w:b/>
          <w:bCs/>
        </w:rPr>
        <w:t>Guarantee:</w:t>
      </w:r>
      <w:r>
        <w:rPr>
          <w:rFonts w:cs="Arial" w:ascii="Arial" w:hAnsi="Arial"/>
        </w:rPr>
        <w:t xml:space="preserve"> None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Cs/>
          <w:u w:val="single"/>
        </w:rPr>
      </w:pPr>
      <w:r>
        <w:rPr>
          <w:rFonts w:cs="Arial" w:ascii="Arial" w:hAnsi="Arial"/>
          <w:b/>
          <w:bCs/>
          <w:u w:val="single"/>
        </w:rPr>
        <w:t>II.  EPMI – PG&amp;E Energy Trading – Power L.P. (formerly USGen Power Services, L.P.)</w:t>
      </w:r>
    </w:p>
    <w:p>
      <w:pPr>
        <w:pStyle w:val="Normal"/>
        <w:jc w:val="both"/>
        <w:rPr>
          <w:rFonts w:ascii="Arial" w:hAnsi="Arial" w:cs="Arial"/>
          <w:b/>
          <w:bCs/>
          <w:u w:val="single"/>
        </w:rPr>
      </w:pPr>
      <w:r>
        <w:rPr>
          <w:rFonts w:cs="Arial" w:ascii="Arial" w:hAnsi="Arial"/>
          <w:b/>
          <w:bCs/>
          <w:u w:val="single"/>
        </w:rPr>
      </w:r>
    </w:p>
    <w:p>
      <w:pPr>
        <w:pStyle w:val="Normal"/>
        <w:jc w:val="both"/>
        <w:rPr/>
      </w:pPr>
      <w:r>
        <w:rPr>
          <w:rFonts w:cs="Arial" w:ascii="Arial" w:hAnsi="Arial"/>
          <w:b/>
          <w:bCs/>
        </w:rPr>
        <w:t>Name of Agreement:</w:t>
      </w:r>
      <w:r>
        <w:rPr>
          <w:rFonts w:cs="Arial" w:ascii="Arial" w:hAnsi="Arial"/>
        </w:rPr>
        <w:t xml:space="preserve"> Master Energy Purchase and Sale Agreement </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Date of Agreement:</w:t>
      </w:r>
      <w:r>
        <w:rPr>
          <w:rFonts w:cs="Arial" w:ascii="Arial" w:hAnsi="Arial"/>
        </w:rPr>
        <w:t xml:space="preserve"> November 27, 1996 </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 xml:space="preserve">Amended subsequently: </w:t>
      </w:r>
      <w:r>
        <w:rPr>
          <w:rFonts w:cs="Arial" w:ascii="Arial" w:hAnsi="Arial"/>
        </w:rPr>
        <w:t>Yes; 5 times</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Governing Law:</w:t>
      </w:r>
      <w:r>
        <w:rPr>
          <w:rFonts w:cs="Arial" w:ascii="Arial" w:hAnsi="Arial"/>
        </w:rPr>
        <w:t xml:space="preserve"> Texas  (Section 8.4)</w:t>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Set-Off:</w:t>
      </w:r>
      <w:r>
        <w:rPr>
          <w:rFonts w:cs="Arial" w:ascii="Arial" w:hAnsi="Arial"/>
        </w:rPr>
        <w:t xml:space="preserve"> All outstanding Transactions and obligations to make payment in connection therewith under this Agreement and any other agreement between the parties are allowed to be set-off against each other. There is no extension to allow set-off between amounts owing between the parties’ affiliates. (Section 6.2)</w:t>
      </w:r>
    </w:p>
    <w:p>
      <w:pPr>
        <w:pStyle w:val="Normal"/>
        <w:jc w:val="both"/>
        <w:rPr>
          <w:rFonts w:ascii="Arial" w:hAnsi="Arial" w:cs="Arial"/>
        </w:rPr>
      </w:pPr>
      <w:r>
        <w:rPr>
          <w:rFonts w:cs="Arial" w:ascii="Arial" w:hAnsi="Arial"/>
        </w:rPr>
      </w:r>
    </w:p>
    <w:p>
      <w:pPr>
        <w:pStyle w:val="Normal"/>
        <w:jc w:val="both"/>
        <w:rPr/>
      </w:pPr>
      <w:r>
        <w:rPr>
          <w:rFonts w:cs="Arial" w:ascii="Arial" w:hAnsi="Arial"/>
          <w:b/>
          <w:bCs/>
        </w:rPr>
        <w:t>Cherry picking</w:t>
      </w:r>
      <w:r>
        <w:rPr>
          <w:rFonts w:cs="Arial" w:ascii="Arial" w:hAnsi="Arial"/>
        </w:rPr>
        <w:t xml:space="preserve">: Yes; as of the Early Termination Date, the Non-Defaulting Party may choose to terminate </w:t>
      </w:r>
      <w:r>
        <w:rPr>
          <w:rFonts w:cs="Arial" w:ascii="Arial" w:hAnsi="Arial"/>
          <w:u w:val="single"/>
        </w:rPr>
        <w:t>any and all</w:t>
      </w:r>
      <w:r>
        <w:rPr>
          <w:rFonts w:cs="Arial" w:ascii="Arial" w:hAnsi="Arial"/>
        </w:rPr>
        <w:t xml:space="preserve"> Transactions selected by it.  (Section 4.2)</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Termination:</w:t>
      </w:r>
      <w:r>
        <w:rPr>
          <w:rFonts w:cs="Arial" w:ascii="Arial" w:hAnsi="Arial"/>
        </w:rPr>
        <w:t xml:space="preserve"> Bankruptcy is an Event of Default under the Agreement. Upon the occurrence of a bankruptcy-type event, all Transactions and the Agreement shall </w:t>
      </w:r>
      <w:r>
        <w:rPr>
          <w:rFonts w:cs="Arial" w:ascii="Arial" w:hAnsi="Arial"/>
          <w:u w:val="single"/>
        </w:rPr>
        <w:t>automatically terminate</w:t>
      </w:r>
      <w:r>
        <w:rPr>
          <w:rFonts w:cs="Arial" w:ascii="Arial" w:hAnsi="Arial"/>
        </w:rPr>
        <w:t>, without notice, as if an Early Termination Date has been declared immediately prior to such event. (Section 4.1 (iv) and 4.2)</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Termination Payment:</w:t>
      </w:r>
      <w:r>
        <w:rPr>
          <w:rFonts w:cs="Arial" w:ascii="Arial" w:hAnsi="Arial"/>
        </w:rPr>
        <w:t xml:space="preserve"> (Same as above). Liquidated damages are computed by reference to market prices or prices “which are reasonably expected to be available in the market for a replacement contract”.  There is no provision which would allow the Non-Defaulting Party to use its internal pricing curves to ascertain the replacement value, even if it is not possible to obtain a market quotation. Please note that the Agreement will allow the Non-Defaulting Party to add into the calculation any costs it has sustained due to the early termination of the Transaction(s) (such as broken hedges, attorney fees, etc…  see the definition of “Costs”).  (Section 4.2 (a) and (b))</w:t>
      </w:r>
    </w:p>
    <w:p>
      <w:pPr>
        <w:pStyle w:val="Normal"/>
        <w:jc w:val="both"/>
        <w:rPr>
          <w:rFonts w:ascii="Arial" w:hAnsi="Arial" w:cs="Arial"/>
        </w:rPr>
      </w:pPr>
      <w:r>
        <w:rPr>
          <w:rFonts w:cs="Arial" w:ascii="Arial" w:hAnsi="Arial"/>
        </w:rPr>
      </w:r>
    </w:p>
    <w:p>
      <w:pPr>
        <w:pStyle w:val="Normal"/>
        <w:jc w:val="both"/>
        <w:rPr/>
      </w:pPr>
      <w:r>
        <w:rPr>
          <w:rFonts w:cs="Arial" w:ascii="Arial" w:hAnsi="Arial"/>
          <w:b/>
          <w:bCs/>
        </w:rPr>
        <w:t>Two-Way Payments:</w:t>
      </w:r>
      <w:r>
        <w:rPr>
          <w:rFonts w:cs="Arial" w:ascii="Arial" w:hAnsi="Arial"/>
        </w:rPr>
        <w:t xml:space="preserve"> Provided for. If the Non-Defaulting Party is the net payer, it must pay the Defaulting Party on or before the later of (1) 10 days after the end of the month ending on or after the Early Termination Date and (2) the date five Business Days after receipt by the Defaulting Party of the Non-Defaulting Party’s notice as to the Termination Payment. (Section 4.2 (a))</w:t>
      </w:r>
    </w:p>
    <w:p>
      <w:pPr>
        <w:pStyle w:val="Normal"/>
        <w:jc w:val="both"/>
        <w:rPr>
          <w:rFonts w:ascii="Arial" w:hAnsi="Arial" w:cs="Arial"/>
        </w:rPr>
      </w:pPr>
      <w:r>
        <w:rPr>
          <w:rFonts w:cs="Arial" w:ascii="Arial" w:hAnsi="Arial"/>
        </w:rPr>
      </w:r>
    </w:p>
    <w:p>
      <w:pPr>
        <w:pStyle w:val="Normal"/>
        <w:jc w:val="both"/>
        <w:rPr/>
      </w:pPr>
      <w:r>
        <w:rPr>
          <w:rFonts w:cs="Arial" w:ascii="Arial" w:hAnsi="Arial"/>
          <w:b/>
          <w:bCs/>
        </w:rPr>
        <w:t>Guarantee:</w:t>
      </w:r>
      <w:r>
        <w:rPr>
          <w:rFonts w:cs="Arial" w:ascii="Arial" w:hAnsi="Arial"/>
        </w:rPr>
        <w:t xml:space="preserve"> Yes- from PG&amp;E Corporation (see Second, Third and Fourth Amendments to the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For the sake of completeness, the following additional master agreements exist: EPMI- PG&amp;E Power Services and EPMI- PG&amp;E Energy Services, Energy Trading Corporation, however there are no outstanding transactions under either of these.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Attached to this memo are the agreements listed in I. and II. above.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Please let me know if I can be of further assistance.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4"/>
        <w:ind w:hanging="0" w:start="0"/>
        <w:rPr/>
      </w:pPr>
      <w:r>
        <w:rPr/>
        <w:t>Attachments</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rPr>
  </w:style>
  <w:style w:type="paragraph" w:styleId="Heading2">
    <w:name w:val="heading 2"/>
    <w:basedOn w:val="Normal"/>
    <w:next w:val="Normal"/>
    <w:qFormat/>
    <w:pPr>
      <w:keepNext w:val="true"/>
      <w:numPr>
        <w:ilvl w:val="0"/>
        <w:numId w:val="2"/>
      </w:numPr>
      <w:tabs>
        <w:tab w:val="clear" w:pos="720"/>
        <w:tab w:val="left" w:pos="360" w:leader="none"/>
      </w:tabs>
      <w:jc w:val="both"/>
      <w:outlineLvl w:val="1"/>
    </w:pPr>
    <w:rPr>
      <w:rFonts w:ascii="Arial" w:hAnsi="Arial" w:cs="Arial"/>
      <w:u w:val="single"/>
    </w:rPr>
  </w:style>
  <w:style w:type="paragraph" w:styleId="Heading3">
    <w:name w:val="heading 3"/>
    <w:basedOn w:val="Normal"/>
    <w:next w:val="Normal"/>
    <w:qFormat/>
    <w:pPr>
      <w:keepNext w:val="true"/>
      <w:numPr>
        <w:ilvl w:val="2"/>
        <w:numId w:val="1"/>
      </w:numPr>
      <w:outlineLvl w:val="2"/>
    </w:pPr>
    <w:rPr>
      <w:rFonts w:ascii="Arial" w:hAnsi="Arial" w:cs="Arial"/>
      <w:b/>
      <w:bCs/>
      <w:u w:val="single"/>
    </w:rPr>
  </w:style>
  <w:style w:type="paragraph" w:styleId="Heading4">
    <w:name w:val="heading 4"/>
    <w:basedOn w:val="Normal"/>
    <w:next w:val="Normal"/>
    <w:qFormat/>
    <w:pPr>
      <w:keepNext w:val="true"/>
      <w:numPr>
        <w:ilvl w:val="3"/>
        <w:numId w:val="1"/>
      </w:numPr>
      <w:jc w:val="both"/>
      <w:outlineLvl w:val="3"/>
    </w:pPr>
    <w:rPr>
      <w:rFonts w:ascii="Arial" w:hAnsi="Arial" w:cs="Arial"/>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sz w:val="24"/>
    </w:rPr>
  </w:style>
  <w:style w:type="paragraph" w:styleId="BodyTextIndent">
    <w:name w:val="Body Text Indent"/>
    <w:basedOn w:val="Normal"/>
    <w:pPr>
      <w:ind w:hanging="450" w:start="450" w:end="0"/>
      <w:jc w:val="both"/>
    </w:pPr>
    <w:rPr>
      <w:rFonts w:ascii="Arial" w:hAnsi="Arial" w:cs="Arial"/>
      <w:sz w:val="22"/>
    </w:rPr>
  </w:style>
  <w:style w:type="paragraph" w:styleId="BodyTextIndent2">
    <w:name w:val="Body Text Indent 2"/>
    <w:basedOn w:val="Normal"/>
    <w:qFormat/>
    <w:pPr>
      <w:tabs>
        <w:tab w:val="clear" w:pos="720"/>
        <w:tab w:val="left" w:pos="360" w:leader="none"/>
      </w:tabs>
      <w:ind w:hanging="0" w:start="360" w:end="0"/>
      <w:jc w:val="both"/>
    </w:pPr>
    <w:rPr>
      <w:rFonts w:ascii="Arial" w:hAnsi="Arial" w:cs="Arial"/>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2001-01-09T20:14:00Z</dcterms:created>
  <dc:creator>cyoder</dc:creator>
  <dc:description/>
  <dc:language>en-CA</dc:language>
  <cp:lastModifiedBy>sstack</cp:lastModifiedBy>
  <cp:lastPrinted>2001-01-09T19:12:00Z</cp:lastPrinted>
  <dcterms:modified xsi:type="dcterms:W3CDTF">2001-01-09T22:42:00Z</dcterms:modified>
  <cp:revision>8</cp:revision>
  <dc:subject/>
  <dc:title>There are a number of reasons why the WSPP Agreement is inferior to the EEI Agreement or Enron’s own Master physical Agreement</dc:title>
</cp:coreProperties>
</file>