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autoSpaceDE w:val="false"/>
        <w:rPr/>
      </w:pPr>
      <w:r>
        <w:rPr>
          <w:b/>
          <w:bCs/>
        </w:rPr>
        <w:t>Request No</w:t>
      </w:r>
      <w:r>
        <w:rPr/>
        <w:t>.</w:t>
        <w:tab/>
        <w:t>PG-DS/AL:001</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3</w:t>
      </w:r>
    </w:p>
    <w:p>
      <w:pPr>
        <w:pStyle w:val="Normal"/>
        <w:autoSpaceDE w:val="false"/>
        <w:ind w:firstLine="720" w:start="720" w:end="0"/>
        <w:rPr/>
      </w:pPr>
      <w:r>
        <w:rPr/>
      </w:r>
    </w:p>
    <w:p>
      <w:pPr>
        <w:pStyle w:val="Normal"/>
        <w:ind w:start="1440" w:end="0"/>
        <w:rPr/>
      </w:pPr>
      <w:r>
        <w:rPr/>
        <w:t>Please provide Table 1 in Excel format, including all formulas and citations to specific source materials.</w:t>
      </w:r>
    </w:p>
    <w:p>
      <w:pPr>
        <w:pStyle w:val="Normal"/>
        <w:autoSpaceDE w:val="false"/>
        <w:rPr/>
      </w:pPr>
      <w:r>
        <w:rPr/>
      </w:r>
    </w:p>
    <w:p>
      <w:pPr>
        <w:pStyle w:val="Normal"/>
        <w:autoSpaceDE w:val="false"/>
        <w:rPr/>
      </w:pPr>
      <w:r>
        <w:rPr/>
      </w:r>
    </w:p>
    <w:p>
      <w:pPr>
        <w:pStyle w:val="Normal"/>
        <w:autoSpaceDE w:val="false"/>
        <w:ind w:hanging="1440" w:start="1440" w:end="0"/>
        <w:rPr>
          <w:b/>
          <w:bCs/>
        </w:rPr>
      </w:pPr>
      <w:r>
        <w:rPr>
          <w:b/>
          <w:bCs/>
        </w:rPr>
        <w:t>Response:</w:t>
        <w:tab/>
      </w:r>
      <w:r>
        <w:rPr/>
        <w:t>Although the Table 1 in the testimony is not directly an Excel table, the information used in producing the table was calculated in the attached spreadsheet “final_l&amp;r”.  In this spreadsheet, most of the tabs are imported tables from BPA’s May Final Loads and Resources Study.  In addition, the tab “Sheet27” is the imported sales table from BPA’s December Amended Study.  The remaining tabs are our additions to calculate annual averages and five-year averages.</w:t>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PG-DS/AL:002</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6</w:t>
      </w:r>
    </w:p>
    <w:p>
      <w:pPr>
        <w:pStyle w:val="Normal"/>
        <w:autoSpaceDE w:val="false"/>
        <w:ind w:firstLine="720" w:start="720" w:end="0"/>
        <w:rPr/>
      </w:pPr>
      <w:r>
        <w:rPr/>
        <w:t>Line:</w:t>
        <w:tab/>
        <w:tab/>
        <w:t>19</w:t>
      </w:r>
    </w:p>
    <w:p>
      <w:pPr>
        <w:pStyle w:val="Normal"/>
        <w:autoSpaceDE w:val="false"/>
        <w:ind w:firstLine="720" w:start="720" w:end="0"/>
        <w:rPr/>
      </w:pPr>
      <w:r>
        <w:rPr/>
      </w:r>
    </w:p>
    <w:p>
      <w:pPr>
        <w:pStyle w:val="Normal"/>
        <w:ind w:start="1440" w:end="0"/>
        <w:rPr/>
      </w:pPr>
      <w:r>
        <w:rPr/>
        <w:t>Do you propose that all customers purchasing take-or-pay power from BPA should have remarketing rights for such power?</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As shown in our testimony WP-02-E-DS/AL-01 at page 13, line 22 through page 14, line 2, we propose that the take-or-pay mitigation provisions now in existing Subscription contracts apply to any take-or-pay obligation.  From an efficiency standpoint, it would be better for all customers to have unfettered remarketing rights.</w:t>
      </w:r>
    </w:p>
    <w:p>
      <w:pPr>
        <w:pStyle w:val="Normal"/>
        <w:autoSpaceDE w:val="false"/>
        <w:rPr>
          <w:b/>
          <w:bCs/>
        </w:rPr>
      </w:pPr>
      <w:r>
        <w:rPr>
          <w:b/>
          <w:bCs/>
        </w:rPr>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PG-DS/AL:003</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8</w:t>
      </w:r>
    </w:p>
    <w:p>
      <w:pPr>
        <w:pStyle w:val="Normal"/>
        <w:autoSpaceDE w:val="false"/>
        <w:ind w:firstLine="720" w:start="720" w:end="0"/>
        <w:rPr/>
      </w:pPr>
      <w:r>
        <w:rPr/>
      </w:r>
    </w:p>
    <w:p>
      <w:pPr>
        <w:pStyle w:val="Normal"/>
        <w:ind w:start="1440" w:end="0"/>
        <w:rPr/>
      </w:pPr>
      <w:r>
        <w:rPr/>
        <w:t>Please provide Table 2 in Excel Format, including all formulas and citations to specific source materials.</w:t>
      </w:r>
    </w:p>
    <w:p>
      <w:pPr>
        <w:pStyle w:val="Normal"/>
        <w:autoSpaceDE w:val="false"/>
        <w:rPr/>
      </w:pPr>
      <w:r>
        <w:rPr/>
      </w:r>
    </w:p>
    <w:p>
      <w:pPr>
        <w:pStyle w:val="Normal"/>
        <w:autoSpaceDE w:val="false"/>
        <w:rPr/>
      </w:pPr>
      <w:r>
        <w:rPr/>
      </w:r>
    </w:p>
    <w:p>
      <w:pPr>
        <w:pStyle w:val="Normal"/>
        <w:autoSpaceDE w:val="false"/>
        <w:rPr>
          <w:b/>
          <w:bCs/>
        </w:rPr>
      </w:pPr>
      <w:r>
        <w:rPr>
          <w:b/>
          <w:bCs/>
        </w:rPr>
        <w:t>Response:</w:t>
        <w:tab/>
      </w:r>
      <w:r>
        <w:rPr/>
        <w:t>Included in response to PG-DS/AL:001.</w:t>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PG-DS/AL:004</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9</w:t>
      </w:r>
    </w:p>
    <w:p>
      <w:pPr>
        <w:pStyle w:val="Normal"/>
        <w:autoSpaceDE w:val="false"/>
        <w:ind w:firstLine="720" w:start="720" w:end="0"/>
        <w:rPr/>
      </w:pPr>
      <w:r>
        <w:rPr/>
      </w:r>
    </w:p>
    <w:p>
      <w:pPr>
        <w:pStyle w:val="Normal"/>
        <w:ind w:start="1440" w:end="0"/>
        <w:rPr/>
      </w:pPr>
      <w:r>
        <w:rPr/>
        <w:t>Please provide definitions of “Subscription amount” for the following types of contracts: utility Block, DSI Block, Slice, Full Requirements, Partial Requirements.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For all contracts, the term "Subscription Amount" refers to the amount of power the customer is entitled to receive and is obligated to pay for.  For requirements contracts, implementation of our tiered rate proposal would be based on a load forecast as explained at page 17 of the testimony.</w:t>
      </w:r>
    </w:p>
    <w:p>
      <w:pPr>
        <w:pStyle w:val="Normal"/>
        <w:autoSpaceDE w:val="false"/>
        <w:rPr>
          <w:b/>
          <w:bCs/>
        </w:rPr>
      </w:pPr>
      <w:r>
        <w:rPr>
          <w:b/>
          <w:bCs/>
        </w:rPr>
      </w:r>
    </w:p>
    <w:p>
      <w:pPr>
        <w:pStyle w:val="Normal"/>
        <w:autoSpaceDE w:val="false"/>
        <w:rPr>
          <w:b/>
          <w:bCs/>
        </w:rPr>
      </w:pPr>
      <w:r>
        <w:rPr>
          <w:b/>
          <w:bCs/>
        </w:rPr>
      </w:r>
      <w:r>
        <w:br w:type="page"/>
      </w:r>
    </w:p>
    <w:p>
      <w:pPr>
        <w:pStyle w:val="Header"/>
        <w:tabs>
          <w:tab w:val="clear" w:pos="4320"/>
          <w:tab w:val="clear" w:pos="8640"/>
        </w:tabs>
        <w:autoSpaceDE w:val="false"/>
        <w:rPr/>
      </w:pPr>
      <w:r>
        <w:rPr>
          <w:b/>
          <w:bCs/>
        </w:rPr>
        <w:t>Request No</w:t>
      </w:r>
      <w:r>
        <w:rPr/>
        <w:t>.</w:t>
        <w:tab/>
        <w:t>PG-DS/AL:005</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13</w:t>
      </w:r>
    </w:p>
    <w:p>
      <w:pPr>
        <w:pStyle w:val="Normal"/>
        <w:autoSpaceDE w:val="false"/>
        <w:ind w:firstLine="720" w:start="720" w:end="0"/>
        <w:rPr/>
      </w:pPr>
      <w:r>
        <w:rPr/>
        <w:t>Lines:</w:t>
        <w:tab/>
        <w:tab/>
        <w:t>1-2</w:t>
      </w:r>
    </w:p>
    <w:p>
      <w:pPr>
        <w:pStyle w:val="Normal"/>
        <w:autoSpaceDE w:val="false"/>
        <w:ind w:firstLine="720" w:start="720" w:end="0"/>
        <w:rPr/>
      </w:pPr>
      <w:r>
        <w:rPr/>
      </w:r>
    </w:p>
    <w:p>
      <w:pPr>
        <w:pStyle w:val="Normal"/>
        <w:ind w:start="1440" w:end="0"/>
        <w:rPr/>
      </w:pPr>
      <w:r>
        <w:rPr/>
        <w:t>Please indicate whether the Inventory Solution True-Up is or is not included in the definition of “priced as in BPA’s May Proposal” for Slice.</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Although we did not address this issue, it would be consistent with our testimony to have a one-time "Inventory Solution True Up" for the actual augmentation amounts and prices for the augmentation included in the Base Tier.  Since the Base Tier would include only those purchases completed by January 1, 2001 (or perhaps an earlier date), the true-up would only need to be done once.  There would be no Slice true-up to reflect any augmentation purchase to serve Marginal Tier loads.</w:t>
      </w:r>
    </w:p>
    <w:p>
      <w:pPr>
        <w:pStyle w:val="Normal"/>
        <w:autoSpaceDE w:val="false"/>
        <w:rPr>
          <w:b/>
          <w:bCs/>
        </w:rPr>
      </w:pPr>
      <w:r>
        <w:rPr>
          <w:b/>
          <w:bCs/>
        </w:rPr>
      </w:r>
    </w:p>
    <w:p>
      <w:pPr>
        <w:pStyle w:val="Normal"/>
        <w:autoSpaceDE w:val="false"/>
        <w:rPr>
          <w:b/>
          <w:bCs/>
        </w:rPr>
      </w:pPr>
      <w:r>
        <w:rPr>
          <w:b/>
          <w:bCs/>
        </w:rPr>
      </w:r>
    </w:p>
    <w:p>
      <w:pPr>
        <w:pStyle w:val="Normal"/>
        <w:rPr/>
      </w:pPr>
      <w:r>
        <w:rPr/>
      </w:r>
    </w:p>
    <w:p>
      <w:pPr>
        <w:pStyle w:val="Normal"/>
        <w:rPr/>
      </w:pPr>
      <w:r>
        <w:rPr/>
      </w:r>
      <w:r>
        <w:br w:type="page"/>
      </w:r>
    </w:p>
    <w:p>
      <w:pPr>
        <w:pStyle w:val="Header"/>
        <w:tabs>
          <w:tab w:val="clear" w:pos="4320"/>
          <w:tab w:val="clear" w:pos="8640"/>
        </w:tabs>
        <w:autoSpaceDE w:val="false"/>
        <w:rPr/>
      </w:pPr>
      <w:r>
        <w:rPr>
          <w:b/>
          <w:bCs/>
        </w:rPr>
        <w:t>Request No</w:t>
      </w:r>
      <w:r>
        <w:rPr/>
        <w:t>.</w:t>
        <w:tab/>
        <w:t>PG-DS/AL:006</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13</w:t>
      </w:r>
    </w:p>
    <w:p>
      <w:pPr>
        <w:pStyle w:val="Normal"/>
        <w:autoSpaceDE w:val="false"/>
        <w:ind w:firstLine="720" w:start="720" w:end="0"/>
        <w:rPr/>
      </w:pPr>
      <w:r>
        <w:rPr/>
        <w:t>Lines:</w:t>
        <w:tab/>
        <w:tab/>
        <w:t>4-5</w:t>
      </w:r>
    </w:p>
    <w:p>
      <w:pPr>
        <w:pStyle w:val="Normal"/>
        <w:autoSpaceDE w:val="false"/>
        <w:ind w:firstLine="720" w:start="720" w:end="0"/>
        <w:rPr/>
      </w:pPr>
      <w:r>
        <w:rPr/>
      </w:r>
    </w:p>
    <w:p>
      <w:pPr>
        <w:pStyle w:val="Normal"/>
        <w:ind w:firstLine="720" w:start="720" w:end="0"/>
        <w:rPr/>
      </w:pPr>
      <w:r>
        <w:rPr/>
        <w:t>Please provide a numerical example of the “montly multipliers”.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Suppose a Slice purchaser contracted for 1% of BPA’s System.  Their Base Tier amount is 1% x 70.6%, or .706% of the system.  For this Base Tier amount, the Slice purchaser would pay the rate determined in the May Final Proposal, $1,419,430 × 70.6% = $1,002,118.  (The May rates may be adjusted by the true-up discussed in our response to PG-DS/AL:005.)  Assume that the Slice purchaser elects to purchase their full Slice entitlement, that is, the Base Tier plus all of the Marginal Tier.  The Marginal Tier energy would be priced at $1,419,430 – $1 ,002,118 = $417,312 times a multiplier.  The multiplier would be calculated by determining the total cost at market prices of serving the amount of net requirements needed to justify 1% of Slice, or about 71 aMW.  This total cost divided by the (adjusted) Slice rate from the May Proposal would be the multiplier.</w:t>
      </w:r>
    </w:p>
    <w:p>
      <w:pPr>
        <w:pStyle w:val="Normal"/>
        <w:rPr/>
      </w:pPr>
      <w:r>
        <w:rPr/>
      </w:r>
    </w:p>
    <w:p>
      <w:pPr>
        <w:pStyle w:val="Normal"/>
        <w:ind w:start="1440" w:end="0"/>
        <w:rPr/>
      </w:pPr>
      <w:r>
        <w:rPr/>
        <w:t>To supply an example calculation, in the 71 aMW, there is about 30,700 MWh per month of HLH energy and 21,300 MWh of LLH energy.  Suppose BPA’s average augmentation costs per unit were $150/MWh HLH and $100/MWh LLH.  The total cost to serve the net requirements would be 30,700 × 150 = $4,605,000 plus 21,300 × 100 = $2,130,000, a total of $6,735,000.  Dividing this number by the (unadjusted) May rate yields the multiplier, 6,735,000 ÷ 1,419,430 = 4.475.  Thus, the Marginal Tier (</w:t>
      </w:r>
      <w:r>
        <w:rPr>
          <w:i/>
        </w:rPr>
        <w:t>e.g.</w:t>
      </w:r>
      <w:r>
        <w:rPr/>
        <w:t>, the amount in excess of 70.6% in the first year) of each 1% of Slice could be purchased for $417,312 × 4.475 = $1,867,471.</w:t>
      </w:r>
    </w:p>
    <w:p>
      <w:pPr>
        <w:pStyle w:val="Normal"/>
        <w:autoSpaceDE w:val="false"/>
        <w:rPr>
          <w:b/>
          <w:bCs/>
        </w:rPr>
      </w:pPr>
      <w:r>
        <w:rPr>
          <w:b/>
          <w:bCs/>
        </w:rPr>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PG-DS/AL:007</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13</w:t>
      </w:r>
    </w:p>
    <w:p>
      <w:pPr>
        <w:pStyle w:val="Normal"/>
        <w:autoSpaceDE w:val="false"/>
        <w:ind w:firstLine="720" w:start="720" w:end="0"/>
        <w:rPr/>
      </w:pPr>
      <w:r>
        <w:rPr/>
        <w:t>Lines:</w:t>
        <w:tab/>
        <w:tab/>
        <w:t>10-11</w:t>
      </w:r>
    </w:p>
    <w:p>
      <w:pPr>
        <w:pStyle w:val="Normal"/>
        <w:autoSpaceDE w:val="false"/>
        <w:ind w:firstLine="720" w:start="720" w:end="0"/>
        <w:rPr/>
      </w:pPr>
      <w:r>
        <w:rPr/>
      </w:r>
    </w:p>
    <w:p>
      <w:pPr>
        <w:pStyle w:val="Normal"/>
        <w:ind w:start="1440" w:end="0"/>
        <w:rPr/>
      </w:pPr>
      <w:r>
        <w:rPr/>
        <w:t>Please explain “Slice net requirements” and provide specific citations to forecasts in BPA’s rate proposals.</w:t>
      </w:r>
    </w:p>
    <w:p>
      <w:pPr>
        <w:pStyle w:val="Normal"/>
        <w:autoSpaceDE w:val="false"/>
        <w:rPr/>
      </w:pPr>
      <w:r>
        <w:rPr/>
      </w:r>
    </w:p>
    <w:p>
      <w:pPr>
        <w:pStyle w:val="Normal"/>
        <w:autoSpaceDE w:val="false"/>
        <w:rPr/>
      </w:pPr>
      <w:r>
        <w:rPr/>
      </w:r>
    </w:p>
    <w:p>
      <w:pPr>
        <w:pStyle w:val="Normal"/>
        <w:ind w:hanging="1440" w:start="1440" w:end="0"/>
        <w:rPr>
          <w:b/>
        </w:rPr>
      </w:pPr>
      <w:r>
        <w:rPr>
          <w:b/>
          <w:bCs/>
        </w:rPr>
        <w:t>Response:</w:t>
        <w:tab/>
      </w:r>
      <w:r>
        <w:rPr/>
        <w:t>Slice net requirements is the amount of net requirements load that a customer must have to qualify for purchase of the Slice product.  The 2000 aMW of total Slice "load" entitles Slice customers to 28.29% of the BPA system.  Thus, in order to purchase 1% of BPA’s system through Slice, the purchasers must have at least about 71 aMW of net requirements load.  This is a calculated number and is not based on any forecast of BPA's.</w:t>
      </w:r>
    </w:p>
    <w:p>
      <w:pPr>
        <w:pStyle w:val="Normal"/>
        <w:rPr>
          <w:b/>
        </w:rPr>
      </w:pPr>
      <w:r>
        <w:rPr>
          <w:b/>
        </w:rPr>
      </w:r>
    </w:p>
    <w:p>
      <w:pPr>
        <w:pStyle w:val="Normal"/>
        <w:autoSpaceDE w:val="false"/>
        <w:rPr>
          <w:b/>
          <w:bCs/>
        </w:rPr>
      </w:pPr>
      <w:r>
        <w:rPr>
          <w:b/>
          <w:bCs/>
        </w:rPr>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PG-DS/AL:008</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16-17</w:t>
      </w:r>
    </w:p>
    <w:p>
      <w:pPr>
        <w:pStyle w:val="Normal"/>
        <w:autoSpaceDE w:val="false"/>
        <w:ind w:firstLine="720" w:start="720" w:end="0"/>
        <w:rPr/>
      </w:pPr>
      <w:r>
        <w:rPr/>
        <w:t>Lines:</w:t>
        <w:tab/>
        <w:tab/>
        <w:t>page 16, line 22 - page 17, line 3</w:t>
      </w:r>
    </w:p>
    <w:p>
      <w:pPr>
        <w:pStyle w:val="Normal"/>
        <w:autoSpaceDE w:val="false"/>
        <w:ind w:firstLine="720" w:start="720" w:end="0"/>
        <w:rPr/>
      </w:pPr>
      <w:r>
        <w:rPr/>
      </w:r>
    </w:p>
    <w:p>
      <w:pPr>
        <w:pStyle w:val="Normal"/>
        <w:ind w:start="1440" w:end="0"/>
        <w:rPr/>
      </w:pPr>
      <w:r>
        <w:rPr/>
        <w:t>Please provide a numerical example of the calculation of Base Tier percentage and resulting HLH and LLH energy billing factors.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If May and June are not excluded from the calculation of the Base Tier Percentage, then the Base Tier Percentage for 2002 would be (8,123 – 2,390) ÷ 8,123, or 70.6%.  The numbers are from Table 1 of our testimony, the year 2002 column, using the Total Loads and the Remaining Augmentation.  If a customer’s energy billing determinants for a month were forecasted to be 8,600 MWh HLH and 5,960 MWh LLH, then their Base Tier billing factors would be 8,600 × 70.6%, or 6,072 MWh HLH and 5,960 × 70.6%, or 4,208 MWh LLH.</w:t>
      </w:r>
    </w:p>
    <w:p>
      <w:pPr>
        <w:pStyle w:val="Normal"/>
        <w:rPr/>
      </w:pPr>
      <w:r>
        <w:rPr/>
      </w:r>
    </w:p>
    <w:p>
      <w:pPr>
        <w:pStyle w:val="Normal"/>
        <w:autoSpaceDE w:val="false"/>
        <w:rPr>
          <w:b/>
          <w:bCs/>
        </w:rPr>
      </w:pPr>
      <w:r>
        <w:rPr>
          <w:b/>
          <w:bCs/>
        </w:rPr>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PG-DS/AL:009</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16-17</w:t>
      </w:r>
    </w:p>
    <w:p>
      <w:pPr>
        <w:pStyle w:val="Normal"/>
        <w:autoSpaceDE w:val="false"/>
        <w:ind w:firstLine="720" w:start="720" w:end="0"/>
        <w:rPr/>
      </w:pPr>
      <w:r>
        <w:rPr/>
        <w:t>Lines:</w:t>
        <w:tab/>
        <w:tab/>
        <w:t>page 16, line 22 - page 17, line 3</w:t>
      </w:r>
    </w:p>
    <w:p>
      <w:pPr>
        <w:pStyle w:val="Normal"/>
        <w:autoSpaceDE w:val="false"/>
        <w:ind w:firstLine="720" w:start="720" w:end="0"/>
        <w:rPr/>
      </w:pPr>
      <w:r>
        <w:rPr/>
      </w:r>
    </w:p>
    <w:p>
      <w:pPr>
        <w:pStyle w:val="Normal"/>
        <w:ind w:start="1440" w:end="0"/>
        <w:rPr/>
      </w:pPr>
      <w:r>
        <w:rPr/>
        <w:t>Please provide a numerical example of the calculation of Marginal Tier HLH and LLH energy billing factors.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Referring to the calculations already made in PG-DS/AL:008, the Marginal Tier HLH and LLH energy billing factors would be HLH Actual Use – 6,072 MWh, and LLH Actual Use – 4,208 MWh.  If the customer’s Actual Use turned out to be 8,600 MWh HLH and 5,960 MWh LLH, then their energy billing factors would be 8,600 – 6,072 = 2,528 MWh HLH, and 5,960 – 4,208 MWh = 1,752 MWh LLH.</w:t>
      </w:r>
    </w:p>
    <w:p>
      <w:pPr>
        <w:pStyle w:val="Normal"/>
        <w:rPr/>
      </w:pPr>
      <w:r>
        <w:rPr/>
      </w:r>
    </w:p>
    <w:p>
      <w:pPr>
        <w:pStyle w:val="Normal"/>
        <w:autoSpaceDE w:val="false"/>
        <w:rPr>
          <w:b/>
          <w:bCs/>
        </w:rPr>
      </w:pPr>
      <w:r>
        <w:rPr>
          <w:b/>
          <w:bCs/>
        </w:rPr>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PG-DS/AL:010</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17</w:t>
      </w:r>
    </w:p>
    <w:p>
      <w:pPr>
        <w:pStyle w:val="Normal"/>
        <w:autoSpaceDE w:val="false"/>
        <w:ind w:firstLine="720" w:start="720" w:end="0"/>
        <w:rPr/>
      </w:pPr>
      <w:r>
        <w:rPr/>
        <w:t>Line:</w:t>
        <w:tab/>
        <w:tab/>
        <w:t>7</w:t>
      </w:r>
    </w:p>
    <w:p>
      <w:pPr>
        <w:pStyle w:val="Normal"/>
        <w:autoSpaceDE w:val="false"/>
        <w:ind w:firstLine="720" w:start="720" w:end="0"/>
        <w:rPr/>
      </w:pPr>
      <w:r>
        <w:rPr/>
      </w:r>
    </w:p>
    <w:p>
      <w:pPr>
        <w:pStyle w:val="Normal"/>
        <w:ind w:firstLine="720" w:start="720" w:end="0"/>
        <w:rPr/>
      </w:pPr>
      <w:r>
        <w:rPr/>
        <w:t>Please provide a definition of “vintaged rates”.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In this context, "vintaged rates" refers to rates that differ depending on when the load begins service.</w:t>
      </w:r>
    </w:p>
    <w:p>
      <w:pPr>
        <w:pStyle w:val="Normal"/>
        <w:autoSpaceDE w:val="false"/>
        <w:rPr>
          <w:b/>
          <w:bCs/>
        </w:rPr>
      </w:pPr>
      <w:r>
        <w:rPr>
          <w:b/>
          <w:bCs/>
        </w:rPr>
      </w:r>
    </w:p>
    <w:p>
      <w:pPr>
        <w:pStyle w:val="Normal"/>
        <w:autoSpaceDE w:val="false"/>
        <w:rPr>
          <w:b/>
          <w:bCs/>
        </w:rPr>
      </w:pPr>
      <w:r>
        <w:rPr>
          <w:b/>
          <w:bCs/>
        </w:rPr>
      </w:r>
    </w:p>
    <w:p>
      <w:pPr>
        <w:pStyle w:val="Normal"/>
        <w:rPr/>
      </w:pPr>
      <w:r>
        <w:rPr/>
      </w:r>
      <w:r>
        <w:br w:type="page"/>
      </w:r>
    </w:p>
    <w:p>
      <w:pPr>
        <w:pStyle w:val="Header"/>
        <w:tabs>
          <w:tab w:val="clear" w:pos="4320"/>
          <w:tab w:val="clear" w:pos="8640"/>
        </w:tabs>
        <w:autoSpaceDE w:val="false"/>
        <w:rPr/>
      </w:pPr>
      <w:r>
        <w:rPr>
          <w:b/>
          <w:bCs/>
        </w:rPr>
        <w:t>Request No</w:t>
      </w:r>
      <w:r>
        <w:rPr/>
        <w:t>.</w:t>
        <w:tab/>
        <w:t>PG-DS/AL:011</w:t>
      </w:r>
    </w:p>
    <w:p>
      <w:pPr>
        <w:pStyle w:val="Normal"/>
        <w:autoSpaceDE w:val="false"/>
        <w:rPr/>
      </w:pPr>
      <w:r>
        <w:rPr/>
      </w:r>
    </w:p>
    <w:p>
      <w:pPr>
        <w:pStyle w:val="Normal"/>
        <w:autoSpaceDE w:val="false"/>
        <w:rPr/>
      </w:pPr>
      <w:r>
        <w:rPr>
          <w:b/>
          <w:bCs/>
        </w:rPr>
        <w:t>Request:</w:t>
        <w:tab/>
      </w:r>
      <w:r>
        <w:rPr/>
        <w:t>Exhibit:</w:t>
        <w:tab/>
        <w:t>WP-02-E-DS/AL-01</w:t>
      </w:r>
    </w:p>
    <w:p>
      <w:pPr>
        <w:pStyle w:val="Normal"/>
        <w:autoSpaceDE w:val="false"/>
        <w:ind w:firstLine="720" w:start="720" w:end="0"/>
        <w:rPr/>
      </w:pPr>
      <w:r>
        <w:rPr/>
        <w:t>Witnesses:</w:t>
        <w:tab/>
        <w:t>Bliven and Schoenbeck</w:t>
      </w:r>
    </w:p>
    <w:p>
      <w:pPr>
        <w:pStyle w:val="Normal"/>
        <w:autoSpaceDE w:val="false"/>
        <w:ind w:firstLine="720" w:start="720" w:end="0"/>
        <w:rPr/>
      </w:pPr>
      <w:r>
        <w:rPr/>
        <w:t>Page:</w:t>
        <w:tab/>
        <w:tab/>
        <w:t>20</w:t>
      </w:r>
    </w:p>
    <w:p>
      <w:pPr>
        <w:pStyle w:val="Normal"/>
        <w:autoSpaceDE w:val="false"/>
        <w:ind w:firstLine="720" w:start="720" w:end="0"/>
        <w:rPr/>
      </w:pPr>
      <w:r>
        <w:rPr/>
        <w:t>Lines:</w:t>
        <w:tab/>
        <w:tab/>
        <w:t>18-20</w:t>
      </w:r>
    </w:p>
    <w:p>
      <w:pPr>
        <w:pStyle w:val="Normal"/>
        <w:autoSpaceDE w:val="false"/>
        <w:ind w:firstLine="720" w:start="720" w:end="0"/>
        <w:rPr/>
      </w:pPr>
      <w:r>
        <w:rPr/>
      </w:r>
    </w:p>
    <w:p>
      <w:pPr>
        <w:pStyle w:val="Normal"/>
        <w:ind w:firstLine="720" w:start="720" w:end="0"/>
        <w:rPr/>
      </w:pPr>
      <w:r>
        <w:rPr/>
        <w:t>How much power would be in the Base Tier for the DSIs?</w:t>
      </w:r>
    </w:p>
    <w:p>
      <w:pPr>
        <w:pStyle w:val="Normal"/>
        <w:autoSpaceDE w:val="false"/>
        <w:rPr/>
      </w:pPr>
      <w:r>
        <w:rPr/>
      </w:r>
    </w:p>
    <w:p>
      <w:pPr>
        <w:pStyle w:val="Normal"/>
        <w:autoSpaceDE w:val="false"/>
        <w:rPr/>
      </w:pPr>
      <w:r>
        <w:rPr/>
      </w:r>
    </w:p>
    <w:p>
      <w:pPr>
        <w:pStyle w:val="Normal"/>
        <w:ind w:hanging="1440" w:start="1440" w:end="0"/>
        <w:rPr/>
      </w:pPr>
      <w:r>
        <w:rPr>
          <w:b/>
          <w:bCs/>
        </w:rPr>
        <w:t>Response:</w:t>
        <w:tab/>
      </w:r>
      <w:r>
        <w:rPr/>
        <w:t>The Base Tier for the DSIs would be calculated based on their contracted purchase amounts, the actual values we do not have nor know.  However, BPA has been using the forecasted total class load of 1,486 aMW.  Assuming this load is flat across 8,760 hours per year, and there is 57% of the energy in the HLH period, then monthly amount for the class would be about 618,325 MWh HLH and 466,455 MWh LLH.  Assuming a Base Tier percentage of 70.6%, the DSI class would receive about 618,325 × 70.6% = 436,537 MWh HLH and 466,455 × 70.6% = 329,317 MWh LLH in the Base Tier in the first year of the rate period.  Similar calculations can be done for each year.</w:t>
      </w:r>
    </w:p>
    <w:p>
      <w:pPr>
        <w:pStyle w:val="Normal"/>
        <w:autoSpaceDE w:val="false"/>
        <w:rPr>
          <w:b/>
          <w:bCs/>
        </w:rPr>
      </w:pPr>
      <w:r>
        <w:rPr>
          <w:b/>
          <w:bCs/>
        </w:rPr>
      </w:r>
    </w:p>
    <w:p>
      <w:pPr>
        <w:pStyle w:val="Normal"/>
        <w:autoSpaceDE w:val="false"/>
        <w:rPr>
          <w:b/>
          <w:bCs/>
        </w:rPr>
      </w:pPr>
      <w:r>
        <w:rPr>
          <w:b/>
          <w:bCs/>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80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s>
      <w:ind w:hanging="1080" w:start="1080" w:end="0"/>
      <w:rPr/>
    </w:pPr>
    <w:r>
      <w:rPr/>
      <w:t>March 21, 2001</w:t>
    </w:r>
  </w:p>
  <w:p>
    <w:pPr>
      <w:pStyle w:val="Normal"/>
      <w:tabs>
        <w:tab w:val="clear" w:pos="720"/>
        <w:tab w:val="left" w:pos="1080" w:leader="none"/>
      </w:tabs>
      <w:ind w:hanging="1080" w:start="1080" w:end="0"/>
      <w:rPr/>
    </w:pPr>
    <w:r>
      <w:rPr/>
    </w:r>
  </w:p>
  <w:p>
    <w:pPr>
      <w:pStyle w:val="Footer"/>
      <w:tabs>
        <w:tab w:val="left" w:pos="720" w:leader="none"/>
        <w:tab w:val="center" w:pos="4320" w:leader="none"/>
        <w:tab w:val="right" w:pos="8640" w:leader="none"/>
      </w:tabs>
      <w:rPr/>
    </w:pPr>
    <w:r>
      <w:rPr/>
      <w:t>cc:</w:t>
      <w:tab/>
      <w:t>Hearing Clerk</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WP-02 DS Data Response</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widowControl w:val="false"/>
      <w:numPr>
        <w:ilvl w:val="4"/>
        <w:numId w:val="1"/>
      </w:numPr>
      <w:outlineLvl w:val="4"/>
    </w:pPr>
    <w:rPr>
      <w:rFonts w:ascii="Arial" w:hAnsi="Arial" w:cs="Arial"/>
      <w:b/>
      <w:color w:val="000000"/>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estion">
    <w:name w:val="Question"/>
    <w:basedOn w:val="Normal"/>
    <w:qFormat/>
    <w:pPr>
      <w:spacing w:before="0" w:after="240"/>
      <w:ind w:hanging="720" w:start="720" w:end="0"/>
    </w:pPr>
    <w:rPr>
      <w:b/>
      <w:sz w:val="28"/>
    </w:rPr>
  </w:style>
  <w:style w:type="paragraph" w:styleId="BodyTextIndent">
    <w:name w:val="Body Text Indent"/>
    <w:basedOn w:val="Normal"/>
    <w:pPr>
      <w:tabs>
        <w:tab w:val="clear" w:pos="720"/>
        <w:tab w:val="left" w:pos="1080" w:leader="none"/>
      </w:tabs>
      <w:ind w:hanging="108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pPr>
    <w:rPr>
      <w:b/>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2001-03-15T17:00:00Z</dcterms:created>
  <dc:creator>Stephanie Powell</dc:creator>
  <dc:description/>
  <dc:language>en-CA</dc:language>
  <cp:lastModifiedBy>Bill Ferranti</cp:lastModifiedBy>
  <cp:lastPrinted>1999-12-01T10:27:00Z</cp:lastPrinted>
  <dcterms:modified xsi:type="dcterms:W3CDTF">2001-03-16T22:04:00Z</dcterms:modified>
  <cp:revision>10</cp:revision>
  <dc:subject/>
  <dc:title>Request No</dc:title>
</cp:coreProperties>
</file>