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Corporation</w:t>
      </w:r>
    </w:p>
    <w:p>
      <w:pPr>
        <w:pStyle w:val="Normal"/>
        <w:spacing w:before="840" w:after="0"/>
        <w:jc w:val="center"/>
        <w:rPr>
          <w:b/>
          <w:smallCaps/>
          <w:sz w:val="32"/>
        </w:rPr>
      </w:pPr>
      <w:r>
        <w:rPr>
          <w:b/>
          <w:smallCaps/>
          <w:sz w:val="32"/>
        </w:rPr>
        <w:t>(PGT)</w:t>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ASSIGNMENT AGREEMENT (this “Agreement”) is entered into November ___, 2000, between </w:t>
      </w:r>
      <w:r>
        <w:rPr>
          <w:b/>
          <w:smallCaps/>
          <w:sz w:val="22"/>
        </w:rPr>
        <w:t>Calpine Corporation</w:t>
      </w:r>
      <w:r>
        <w:rPr>
          <w:smallCaps/>
          <w:sz w:val="22"/>
        </w:rPr>
        <w:t xml:space="preserve">, </w:t>
      </w:r>
      <w:r>
        <w:rPr>
          <w:sz w:val="22"/>
        </w:rPr>
        <w:t xml:space="preserve">a Delaware corporation (hereinafter referred to as “Calpine”) and </w:t>
      </w:r>
      <w:r>
        <w:rPr>
          <w:b/>
          <w:smallCaps/>
          <w:sz w:val="22"/>
        </w:rPr>
        <w:t>Enron North America Corp</w:t>
      </w:r>
      <w:r>
        <w:rPr>
          <w:smallCaps/>
          <w:sz w:val="22"/>
        </w:rPr>
        <w:t xml:space="preserve">., </w:t>
      </w:r>
      <w:r>
        <w:rPr>
          <w:sz w:val="22"/>
        </w:rPr>
        <w:t>a Delaware corporation (hereinafter referred to as “ENA”).</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b/>
          <w:i/>
          <w:sz w:val="22"/>
        </w:rPr>
        <w:t>“</w:t>
      </w:r>
      <w:r>
        <w:rPr>
          <w:b/>
          <w:i/>
          <w:sz w:val="22"/>
        </w:rPr>
        <w:t>ANG/NOVA Assignment Agreement”</w:t>
      </w:r>
      <w:r>
        <w:rPr>
          <w:sz w:val="22"/>
        </w:rPr>
        <w:t xml:space="preserve"> means that certain Assignment Agreement between Calpine and Enron Canada Corp. (“Enron Canada”), dated of even date herewith.</w:t>
      </w:r>
    </w:p>
    <w:p>
      <w:pPr>
        <w:pStyle w:val="Heading2"/>
        <w:spacing w:before="120" w:after="0"/>
        <w:rPr/>
      </w:pPr>
      <w:r>
        <w:rPr>
          <w:sz w:val="22"/>
        </w:rPr>
        <w:t>“</w:t>
      </w:r>
      <w:r>
        <w:rPr>
          <w:b/>
          <w:i/>
          <w:sz w:val="22"/>
        </w:rPr>
        <w:t>Assigned Capacity</w:t>
      </w:r>
      <w:r>
        <w:rPr>
          <w:sz w:val="22"/>
        </w:rPr>
        <w:t>” means the number of MMBtu per day of PGT Service finally determined by operation of Section 2.2 below.</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May 1, 2001.</w:t>
      </w:r>
    </w:p>
    <w:p>
      <w:pPr>
        <w:pStyle w:val="Justified"/>
        <w:spacing w:before="120" w:after="0"/>
        <w:ind w:firstLine="720" w:end="0"/>
        <w:rPr/>
      </w:pPr>
      <w:r>
        <w:rPr>
          <w:sz w:val="22"/>
        </w:rPr>
        <w:t>“</w:t>
      </w:r>
      <w:r>
        <w:rPr>
          <w:b/>
          <w:i/>
          <w:sz w:val="22"/>
        </w:rPr>
        <w:t>Conditions Deadline</w:t>
      </w:r>
      <w:r>
        <w:rPr>
          <w:sz w:val="22"/>
        </w:rPr>
        <w:t>” means 5:00 p.m. Central clock time on December 15, 2000.</w:t>
      </w:r>
    </w:p>
    <w:p>
      <w:pPr>
        <w:pStyle w:val="Heading2"/>
        <w:spacing w:before="120" w:after="0"/>
        <w:rPr/>
      </w:pPr>
      <w:r>
        <w:rPr>
          <w:sz w:val="22"/>
        </w:rPr>
        <w:t>“</w:t>
      </w:r>
      <w:r>
        <w:rPr>
          <w:b/>
          <w:i/>
          <w:sz w:val="22"/>
        </w:rPr>
        <w:t>Dollars</w:t>
      </w:r>
      <w:r>
        <w:rPr>
          <w:sz w:val="22"/>
        </w:rPr>
        <w:t>” and “</w:t>
      </w:r>
      <w:r>
        <w:rPr>
          <w:b/>
          <w:i/>
          <w:sz w:val="22"/>
        </w:rPr>
        <w:t>$</w:t>
      </w:r>
      <w:r>
        <w:rPr>
          <w:sz w:val="22"/>
        </w:rPr>
        <w:t>” refer to dollars of the lawful currency of the United States of America.</w:t>
      </w:r>
    </w:p>
    <w:p>
      <w:pPr>
        <w:pStyle w:val="Justified"/>
        <w:spacing w:before="120" w:after="0"/>
        <w:ind w:firstLine="720" w:end="0"/>
        <w:rPr/>
      </w:pPr>
      <w:r>
        <w:rPr>
          <w:sz w:val="22"/>
        </w:rPr>
        <w:t>“</w:t>
      </w:r>
      <w:r>
        <w:rPr>
          <w:b/>
          <w:i/>
          <w:sz w:val="22"/>
        </w:rPr>
        <w:t>MMBtu</w:t>
      </w:r>
      <w:r>
        <w:rPr>
          <w:sz w:val="22"/>
        </w:rPr>
        <w:t>” means a million British thermal units.</w:t>
      </w:r>
    </w:p>
    <w:p>
      <w:pPr>
        <w:pStyle w:val="Justified"/>
        <w:spacing w:before="120" w:after="0"/>
        <w:ind w:firstLine="720" w:end="0"/>
        <w:rPr/>
      </w:pPr>
      <w:r>
        <w:rPr>
          <w:b/>
          <w:bCs/>
          <w:i/>
          <w:iCs/>
          <w:sz w:val="22"/>
        </w:rPr>
        <w:t>“</w:t>
      </w:r>
      <w:r>
        <w:rPr>
          <w:b/>
          <w:bCs/>
          <w:i/>
          <w:iCs/>
          <w:sz w:val="22"/>
        </w:rPr>
        <w:t xml:space="preserve">Period One” </w:t>
      </w:r>
      <w:r>
        <w:rPr>
          <w:sz w:val="22"/>
        </w:rPr>
        <w:t>means the time period extending from the Commencement Date through October 31, 2008.</w:t>
      </w:r>
    </w:p>
    <w:p>
      <w:pPr>
        <w:pStyle w:val="Justified"/>
        <w:spacing w:before="120" w:after="0"/>
        <w:ind w:firstLine="720" w:end="0"/>
        <w:rPr/>
      </w:pPr>
      <w:r>
        <w:rPr>
          <w:b/>
          <w:bCs/>
          <w:i/>
          <w:iCs/>
          <w:sz w:val="22"/>
        </w:rPr>
        <w:t>“</w:t>
      </w:r>
      <w:r>
        <w:rPr>
          <w:b/>
          <w:bCs/>
          <w:i/>
          <w:iCs/>
          <w:sz w:val="22"/>
        </w:rPr>
        <w:t xml:space="preserve">Period Two” </w:t>
      </w:r>
      <w:r>
        <w:rPr>
          <w:sz w:val="22"/>
        </w:rPr>
        <w:t>means the time period extending from November 1, 2008 through the Termination Date.</w:t>
      </w:r>
    </w:p>
    <w:p>
      <w:pPr>
        <w:pStyle w:val="Justified"/>
        <w:spacing w:before="120" w:after="0"/>
        <w:ind w:firstLine="720" w:end="0"/>
        <w:rPr/>
      </w:pPr>
      <w:r>
        <w:rPr>
          <w:sz w:val="22"/>
        </w:rPr>
        <w:t>“</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and Calpine and “</w:t>
      </w:r>
      <w:r>
        <w:rPr>
          <w:b/>
          <w:i/>
          <w:sz w:val="22"/>
        </w:rPr>
        <w:t>Party</w:t>
      </w:r>
      <w:r>
        <w:rPr>
          <w:sz w:val="22"/>
        </w:rPr>
        <w:t>” means either of them.</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Federal Energy Regulatory Commission (“FERC”).</w:t>
      </w:r>
    </w:p>
    <w:p>
      <w:pPr>
        <w:pStyle w:val="Justified"/>
        <w:spacing w:before="120" w:after="0"/>
        <w:ind w:firstLine="720" w:end="0"/>
        <w:rPr/>
      </w:pPr>
      <w:r>
        <w:rPr>
          <w:sz w:val="22"/>
        </w:rPr>
        <w:t>“</w:t>
      </w:r>
      <w:r>
        <w:rPr>
          <w:b/>
          <w:i/>
          <w:sz w:val="22"/>
        </w:rPr>
        <w:t>Termination Date</w:t>
      </w:r>
      <w:r>
        <w:rPr>
          <w:sz w:val="22"/>
        </w:rPr>
        <w:t>” means November 1, 2023.</w:t>
      </w:r>
    </w:p>
    <w:p>
      <w:pPr>
        <w:pStyle w:val="Heading2"/>
        <w:spacing w:before="120" w:after="0"/>
        <w:rPr/>
      </w:pPr>
      <w:r>
        <w:rPr>
          <w:sz w:val="22"/>
        </w:rPr>
        <w:t>“</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DETERMINATION AND TRANSFER OF ASSIGNED CAPACITY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w:t>
      </w:r>
      <w:r>
        <w:rPr>
          <w:sz w:val="22"/>
        </w:rPr>
        <w:t>.  Subject to the terms and conditions hereof, ENA agrees to transfer and assign the Assigned Capacity to Calpine and Calpine agrees to accept such transfer and assignment of the Assigned Capacity.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tab/>
      </w:r>
      <w:r>
        <w:rPr>
          <w:b/>
          <w:bCs/>
          <w:sz w:val="22"/>
        </w:rPr>
        <w:t>Determination of Assigned Capacity.</w:t>
      </w:r>
      <w:r>
        <w:rPr>
          <w:sz w:val="22"/>
        </w:rPr>
        <w:t xml:space="preserve">  No later than </w:t>
      </w:r>
      <w:r>
        <w:rPr>
          <w:b/>
          <w:bCs/>
          <w:sz w:val="22"/>
        </w:rPr>
        <w:t>[3]</w:t>
      </w:r>
      <w:r>
        <w:rPr>
          <w:sz w:val="22"/>
        </w:rPr>
        <w:t xml:space="preserve"> Business days prior to the Conditions Deadline, ENA shall advise Calpine as to the quantity of the Assigned Capacity available for assignment to Calpine hereunder throughout Period One, which amount may be any value between zero MMBtu/day to 47,500 MMBtu/day (the “Available Period One Capacity”).  At any time following Calpine's receipt of the Available Period One Capacity information (but prior to the Conditions Deadline) Calpine may deliver ENA notice that in addition to receiving assignment of the Available Period One Capacity, Calpine desires to receive an additional assignment of the incremental quantity of PGT Service that will cause the Assigned Capacity to total 67,500 MMBtu/day during Period Two.  Calpine's failure to issue the foregoing notice shall cause the Assigned Capacity to equal the Available Period One Capacity throughout both Period One and Period Two.  Calpine’s issuance of such notice shall cause the Assigned Capacity to equal the Available Period One Capacity during Period One and 67,500/day MMBtu during Period Two.</w:t>
      </w:r>
    </w:p>
    <w:p>
      <w:pPr>
        <w:pStyle w:val="Heading2"/>
        <w:spacing w:before="120" w:after="0"/>
        <w:rPr/>
      </w:pPr>
      <w:r>
        <w:rPr>
          <w:sz w:val="22"/>
        </w:rPr>
        <w:t>2.3</w:t>
        <w:tab/>
      </w:r>
      <w:r>
        <w:rPr>
          <w:b/>
          <w:sz w:val="22"/>
        </w:rPr>
        <w:t>Commencement Date</w:t>
      </w:r>
      <w:r>
        <w:rPr>
          <w:sz w:val="22"/>
        </w:rPr>
        <w:t>.  If the transfer of Assigned Capacity is completed, ENA shall remain entitled to all rights and benefits in respect of the Assigned Capacity accruing or pertaining to periods prior to the Commencement Date and shall be liable for all liabilities and obligations (including payment of demand charges) in respect of the Assigned Capacity accruing or pertaining to periods prior to the Commencement Date.  Likewise, if transfer of the Assigned Capacity is completed, Calpine shall be entitled to all rights and benefits in respect of the Assigned Capacity accruing or pertaining to periods on or after the Commencement Date and shall be liable for all liabilities and obligations (including the payment of demand charges) in respect of the Assigned Capacity accruing or pertaining to periods on or after the Commencement Date.</w:t>
      </w:r>
    </w:p>
    <w:p>
      <w:pPr>
        <w:pStyle w:val="Heading2"/>
        <w:spacing w:before="120" w:after="0"/>
        <w:rPr/>
      </w:pPr>
      <w:r>
        <w:rPr>
          <w:sz w:val="22"/>
        </w:rPr>
        <w:t>2.4</w:t>
        <w:tab/>
      </w:r>
      <w:r>
        <w:rPr>
          <w:b/>
          <w:sz w:val="22"/>
        </w:rPr>
        <w:t>Assumption of Obligations</w:t>
      </w:r>
      <w:r>
        <w:rPr>
          <w:sz w:val="22"/>
        </w:rPr>
        <w:t>.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w:t>
      </w:r>
    </w:p>
    <w:p>
      <w:pPr>
        <w:pStyle w:val="Heading2"/>
        <w:spacing w:before="120" w:after="0"/>
        <w:rPr/>
      </w:pPr>
      <w:r>
        <w:rPr>
          <w:sz w:val="22"/>
        </w:rPr>
        <w:t>2.5</w:t>
        <w:tab/>
      </w:r>
      <w:r>
        <w:rPr>
          <w:b/>
          <w:sz w:val="22"/>
        </w:rPr>
        <w:t>Transfer Documents</w:t>
      </w:r>
      <w:r>
        <w:rPr>
          <w:sz w:val="22"/>
        </w:rPr>
        <w:t>.  Between the date hereof and the Commencement Date, each Party shall execute and delivery the Transfer Documents and take all other actions required by PGT or the terms of the tariffs applicable to the Assigned Capacity in order to transfer the Assigned Capacity from ENA to Calpine effective on the Commencement Date.</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ENA's Conditions</w:t>
      </w:r>
      <w:r>
        <w:rPr>
          <w:sz w:val="22"/>
        </w:rPr>
        <w:t>.  ENA's obligation to assign the Assigned Capacity to Calpine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Calpine shall have performed all of its obligations required to be performed by it hereunder at or prior to the Conditions Deadline;</w:t>
      </w:r>
    </w:p>
    <w:p>
      <w:pPr>
        <w:pStyle w:val="Heading2"/>
        <w:spacing w:before="120" w:after="0"/>
        <w:ind w:start="720" w:end="0"/>
        <w:rPr>
          <w:sz w:val="22"/>
        </w:rPr>
      </w:pPr>
      <w:r>
        <w:rPr>
          <w:sz w:val="22"/>
        </w:rPr>
        <w:t>(c)</w:t>
        <w:tab/>
        <w:t>On or before the Conditions Deadline, PGT shall have confirmed that Calpine satisfies its creditworthiness requirements for purposes of permitting the transfer of the Assigned Capacity to Calpine;</w:t>
      </w:r>
    </w:p>
    <w:p>
      <w:pPr>
        <w:pStyle w:val="Heading2"/>
        <w:spacing w:before="120" w:after="0"/>
        <w:ind w:start="720" w:end="0"/>
        <w:rPr>
          <w:sz w:val="22"/>
        </w:rPr>
      </w:pPr>
      <w:r>
        <w:rPr>
          <w:sz w:val="22"/>
        </w:rPr>
        <w:t>(d)</w:t>
        <w:tab/>
        <w:t>On the Conditions Deadline, ENA shall be satisfied that PGT will unconditionally release ENA from all obligations in respect of the Assigned Capacity effective the Commencement Date; and</w:t>
      </w:r>
    </w:p>
    <w:p>
      <w:pPr>
        <w:pStyle w:val="Justified"/>
        <w:spacing w:before="120" w:after="120"/>
        <w:ind w:firstLine="720" w:start="720" w:end="0"/>
        <w:rPr>
          <w:sz w:val="22"/>
        </w:rPr>
      </w:pPr>
      <w:r>
        <w:rPr>
          <w:sz w:val="22"/>
        </w:rPr>
        <w:t>(e)</w:t>
        <w:tab/>
        <w:t>On the Conditions Deadline, ENA shall be satisfied that all conditions precedent to Enron Canada’s performance under the ANG/NOVA Assignment Agreement shall have been timely performed.</w:t>
      </w:r>
    </w:p>
    <w:p>
      <w:pPr>
        <w:pStyle w:val="Heading2"/>
        <w:spacing w:before="120" w:after="0"/>
        <w:ind w:start="720" w:end="0"/>
        <w:rPr>
          <w:sz w:val="22"/>
        </w:rPr>
      </w:pPr>
      <w:r>
        <w:rPr>
          <w:sz w:val="22"/>
        </w:rPr>
      </w:r>
    </w:p>
    <w:p>
      <w:pPr>
        <w:pStyle w:val="Heading2"/>
        <w:spacing w:before="120" w:after="0"/>
        <w:ind w:hanging="0" w:end="0"/>
        <w:rPr>
          <w:sz w:val="22"/>
        </w:rPr>
      </w:pPr>
      <w:r>
        <w:rPr>
          <w:sz w:val="22"/>
        </w:rPr>
        <w:t>If any of such conditions is not satisfied at or prior to the Conditions Deadline, ENA may terminate its obligations hereunder to assign the Assigned Capacity to Calpine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to accept the assignment of the Assigned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Regulatory Compliance</w:t>
      </w:r>
      <w:r>
        <w:rPr>
          <w:sz w:val="22"/>
        </w:rPr>
        <w:t>.  The Parties shall take all reasonable measures to ensure that the assignment of the Assigned Capacity pursuant hereto is made in compliance with all requirements of Regulatory Authorities.  Without limiting the generality of the immediately preceding sentence, the Parties agree that ENA shall cause the Assigned Capacity to be posted on the PGT electronic bulletin board and Calpine shall submit a bid at the maximum rate for the Assigned Capacity immediately after it has been posted on such bulletin board.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assignment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(i) the Assigned Capacity shall be reassigned to ENA and(ii) if ENA (acting at the direction of ENA) so requests, Calpine shall take all action necessary to reassign the Assigned Capacity relative to the ANG Service and NOVA Service (as defined in the ANG/NOVA Assignment Agreement) to Enron Canada.</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Corporate Authority</w:t>
      </w:r>
      <w:r>
        <w:rPr>
          <w:sz w:val="22"/>
        </w:rPr>
        <w:t>:  It is and at the Conditions Deadline and the Commencement Date will be a corporation, duly organized and validly existing under the laws of its jurisdiction of incorporation with the requisite corporate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tab/>
      </w:r>
      <w:r>
        <w:rPr>
          <w:b/>
          <w:sz w:val="22"/>
        </w:rPr>
        <w:t>Confidentiality</w:t>
      </w:r>
      <w:r>
        <w:rPr>
          <w:sz w:val="22"/>
        </w:rPr>
        <w:t>.  Calpine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Calpine shall be required by any court, legislative or administrative body to, whether by oral questions, interrogatories, requests for information, subpoena, or some other processes, Calpine shall have the full right and ability to disclose same without regard to the confidentiality covenant herein contained; provided, however, that Calpine shall provide ENA with as much notice of its requirement to make such disclosure as is reasonably practicable and do all things that ENA may reasonably request, at ENA's cost, to facilitate ENA's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Assignment</w:t>
      </w:r>
      <w:r>
        <w:rPr>
          <w:sz w:val="22"/>
        </w:rPr>
        <w:t>.  No Party shall assign its rights or obligations hereunder.</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Corporation</w:t>
            </w:r>
          </w:p>
          <w:p>
            <w:pPr>
              <w:pStyle w:val="Heading2"/>
              <w:spacing w:before="0" w:after="0"/>
              <w:ind w:hanging="0" w:start="342" w:end="0"/>
              <w:rPr>
                <w:sz w:val="22"/>
              </w:rPr>
            </w:pPr>
            <w:r>
              <w:rPr>
                <w:sz w:val="22"/>
              </w:rPr>
              <w:t xml:space="preserve">50 W. San Fernando St. </w:t>
            </w:r>
          </w:p>
          <w:p>
            <w:pPr>
              <w:pStyle w:val="Heading2"/>
              <w:spacing w:before="0" w:after="0"/>
              <w:ind w:hanging="0" w:start="342" w:end="0"/>
              <w:rPr>
                <w:sz w:val="22"/>
              </w:rPr>
            </w:pPr>
            <w:r>
              <w:rPr>
                <w:sz w:val="22"/>
              </w:rPr>
              <w:t>San Jose, CA 95113</w:t>
            </w:r>
          </w:p>
          <w:p>
            <w:pPr>
              <w:pStyle w:val="Justified"/>
              <w:spacing w:before="12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on a Business day, the notice shall be deemed to have been received by that Party when it was faxed and if it is faxed on a day which is not a Business day or is faxed after 4:00 p.m.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Corporation</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PGT_Capacity_to_Calpine__US__11_28_00.doc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2000-11-28T17:27:00Z</dcterms:created>
  <dc:creator>jordan, monica</dc:creator>
  <dc:description/>
  <dc:language>en-CA</dc:language>
  <cp:lastModifiedBy>svanhoo</cp:lastModifiedBy>
  <cp:lastPrinted>2000-11-27T18:04:00Z</cp:lastPrinted>
  <dcterms:modified xsi:type="dcterms:W3CDTF">2000-11-28T17:27:00Z</dcterms:modified>
  <cp:revision>2</cp:revision>
  <dc:subject/>
  <dc:title>AGREEMENT TO ASSIGN</dc:title>
</cp:coreProperties>
</file>