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Stephanie Miller</w:t>
      </w:r>
    </w:p>
    <w:p>
      <w:pPr>
        <w:pStyle w:val="Normal"/>
        <w:rPr>
          <w:sz w:val="24"/>
        </w:rPr>
      </w:pPr>
      <w:r>
        <w:rPr>
          <w:sz w:val="24"/>
        </w:rPr>
        <w:t>Enron</w:t>
      </w:r>
    </w:p>
    <w:p>
      <w:pPr>
        <w:pStyle w:val="Normal"/>
        <w:rPr>
          <w:sz w:val="24"/>
        </w:rPr>
      </w:pPr>
      <w:r>
        <w:rPr>
          <w:sz w:val="24"/>
        </w:rPr>
      </w:r>
    </w:p>
    <w:p>
      <w:pPr>
        <w:pStyle w:val="Normal"/>
        <w:rPr>
          <w:sz w:val="24"/>
        </w:rPr>
      </w:pPr>
      <w:r>
        <w:rPr>
          <w:sz w:val="24"/>
        </w:rPr>
      </w:r>
    </w:p>
    <w:p>
      <w:pPr>
        <w:pStyle w:val="Normal"/>
        <w:rPr>
          <w:sz w:val="24"/>
        </w:rPr>
      </w:pPr>
      <w:r>
        <w:rPr>
          <w:sz w:val="24"/>
        </w:rPr>
        <w:t>Re</w:t>
        <w:tab/>
        <w:t>NOVA/ANG/PGT Capacity</w:t>
      </w:r>
    </w:p>
    <w:p>
      <w:pPr>
        <w:pStyle w:val="Normal"/>
        <w:rPr>
          <w:sz w:val="24"/>
        </w:rPr>
      </w:pPr>
      <w:r>
        <w:rPr>
          <w:sz w:val="24"/>
        </w:rPr>
      </w:r>
    </w:p>
    <w:p>
      <w:pPr>
        <w:pStyle w:val="Normal"/>
        <w:rPr>
          <w:sz w:val="24"/>
        </w:rPr>
      </w:pPr>
      <w:r>
        <w:rPr>
          <w:sz w:val="24"/>
        </w:rPr>
        <w:t>Dear Stephanie:</w:t>
      </w:r>
    </w:p>
    <w:p>
      <w:pPr>
        <w:pStyle w:val="Normal"/>
        <w:rPr>
          <w:sz w:val="24"/>
        </w:rPr>
      </w:pPr>
      <w:r>
        <w:rPr>
          <w:sz w:val="24"/>
        </w:rPr>
      </w:r>
    </w:p>
    <w:p>
      <w:pPr>
        <w:pStyle w:val="Normal"/>
        <w:rPr>
          <w:sz w:val="24"/>
        </w:rPr>
      </w:pPr>
      <w:r>
        <w:rPr>
          <w:sz w:val="24"/>
        </w:rPr>
        <w:t>As discussed Calpine Corporation (Calpine) is interested in acquiring up to 67,500 Mmbtu per day of firm gas supply and/or associated pipeline capacity held or controlled by Enron  (Enron) on the pipeline systems of Nova, ANG and PGT.  Such firm gas supply has a primary delivery point of Malin, OR and the pipeline capacity has primary receipt and delivery points of Aeco and Malin, respectively.  Calpine proposes the following:</w:t>
      </w:r>
    </w:p>
    <w:p>
      <w:pPr>
        <w:pStyle w:val="Normal"/>
        <w:rPr>
          <w:sz w:val="24"/>
        </w:rPr>
      </w:pPr>
      <w:r>
        <w:rPr>
          <w:sz w:val="24"/>
        </w:rPr>
      </w:r>
    </w:p>
    <w:p>
      <w:pPr>
        <w:pStyle w:val="Normal"/>
        <w:numPr>
          <w:ilvl w:val="0"/>
          <w:numId w:val="2"/>
        </w:numPr>
        <w:rPr>
          <w:sz w:val="24"/>
        </w:rPr>
      </w:pPr>
      <w:r>
        <w:rPr>
          <w:sz w:val="24"/>
        </w:rPr>
        <w:t>Gas Supply:</w:t>
      </w:r>
    </w:p>
    <w:p>
      <w:pPr>
        <w:pStyle w:val="Normal"/>
        <w:ind w:start="720" w:end="0"/>
        <w:rPr>
          <w:sz w:val="24"/>
        </w:rPr>
      </w:pPr>
      <w:r>
        <w:rPr>
          <w:sz w:val="24"/>
        </w:rPr>
      </w:r>
    </w:p>
    <w:p>
      <w:pPr>
        <w:pStyle w:val="Normal"/>
        <w:ind w:start="720" w:end="0"/>
        <w:rPr>
          <w:sz w:val="24"/>
        </w:rPr>
      </w:pPr>
      <w:r>
        <w:rPr>
          <w:sz w:val="24"/>
        </w:rPr>
        <w:t>Calpine will purchase up to 37,500 MMBtu/day of firm gas supply from Enron delivered on a firm basis to Malin for a term of seven + years commencing April 1, 2001 and ending on October 31, 2008.  The price will be NGI FOM plus $0.03 per MMBtu for the first two years and redetermined each year thereafter subject baseball arbitration.</w:t>
      </w:r>
    </w:p>
    <w:p>
      <w:pPr>
        <w:pStyle w:val="Normal"/>
        <w:ind w:start="720" w:end="0"/>
        <w:rPr>
          <w:sz w:val="24"/>
        </w:rPr>
      </w:pPr>
      <w:r>
        <w:rPr>
          <w:sz w:val="24"/>
        </w:rPr>
      </w:r>
    </w:p>
    <w:p>
      <w:pPr>
        <w:pStyle w:val="Normal"/>
        <w:numPr>
          <w:ilvl w:val="0"/>
          <w:numId w:val="2"/>
        </w:numPr>
        <w:rPr>
          <w:sz w:val="24"/>
        </w:rPr>
      </w:pPr>
      <w:r>
        <w:rPr>
          <w:sz w:val="24"/>
        </w:rPr>
        <w:t>Capacity Assignment:</w:t>
      </w:r>
    </w:p>
    <w:p>
      <w:pPr>
        <w:pStyle w:val="Normal"/>
        <w:ind w:start="720" w:end="0"/>
        <w:rPr>
          <w:sz w:val="24"/>
        </w:rPr>
      </w:pPr>
      <w:r>
        <w:rPr>
          <w:sz w:val="24"/>
        </w:rPr>
      </w:r>
    </w:p>
    <w:p>
      <w:pPr>
        <w:pStyle w:val="Normal"/>
        <w:ind w:start="720" w:end="0"/>
        <w:rPr>
          <w:sz w:val="24"/>
        </w:rPr>
      </w:pPr>
      <w:r>
        <w:rPr>
          <w:sz w:val="24"/>
        </w:rPr>
        <w:t>Block A</w:t>
      </w:r>
    </w:p>
    <w:p>
      <w:pPr>
        <w:pStyle w:val="Normal"/>
        <w:ind w:start="720" w:end="0"/>
        <w:rPr>
          <w:sz w:val="24"/>
        </w:rPr>
      </w:pPr>
      <w:r>
        <w:rPr>
          <w:sz w:val="24"/>
        </w:rPr>
      </w:r>
    </w:p>
    <w:p>
      <w:pPr>
        <w:pStyle w:val="Normal"/>
        <w:ind w:start="720" w:end="0"/>
        <w:rPr>
          <w:sz w:val="24"/>
        </w:rPr>
      </w:pPr>
      <w:r>
        <w:rPr>
          <w:sz w:val="24"/>
        </w:rPr>
        <w:t xml:space="preserve">Calpine will take direct assignment of up to 30,000 Mmbtu/day of Enron’s pipeline capacity pursuant to the applicable capacity release or assignment provisions of the applicable pipeline tariff for 100% of the rights of Enron commencing no later than November 1, 2001 and at Enron’s option for either 1) a 7 year term ending on October 31, 2008 or 2) the full term of the underlying capacity (assumed to be 2023).  </w:t>
      </w:r>
    </w:p>
    <w:p>
      <w:pPr>
        <w:pStyle w:val="Normal"/>
        <w:ind w:start="720" w:end="0"/>
        <w:rPr>
          <w:sz w:val="24"/>
        </w:rPr>
      </w:pPr>
      <w:r>
        <w:rPr>
          <w:sz w:val="24"/>
        </w:rPr>
      </w:r>
    </w:p>
    <w:p>
      <w:pPr>
        <w:pStyle w:val="Normal"/>
        <w:ind w:start="720" w:end="0"/>
        <w:rPr>
          <w:sz w:val="24"/>
        </w:rPr>
      </w:pPr>
      <w:r>
        <w:rPr>
          <w:sz w:val="24"/>
        </w:rPr>
        <w:t>Block B</w:t>
      </w:r>
    </w:p>
    <w:p>
      <w:pPr>
        <w:pStyle w:val="Normal"/>
        <w:ind w:start="720" w:end="0"/>
        <w:rPr>
          <w:sz w:val="24"/>
        </w:rPr>
      </w:pPr>
      <w:r>
        <w:rPr>
          <w:sz w:val="24"/>
        </w:rPr>
      </w:r>
    </w:p>
    <w:p>
      <w:pPr>
        <w:pStyle w:val="Normal"/>
        <w:ind w:start="720" w:end="0"/>
        <w:rPr>
          <w:sz w:val="24"/>
        </w:rPr>
      </w:pPr>
      <w:r>
        <w:rPr>
          <w:sz w:val="24"/>
        </w:rPr>
        <w:t>Enron will have the option to assign up to an additional 67,500 Mmbtu/day of capacity commencing November 1, 2008 if Enron elects no. 2) above which includes the release of up to 30,000 for the capacity for the full term at the rates noted below.</w:t>
      </w:r>
    </w:p>
    <w:p>
      <w:pPr>
        <w:pStyle w:val="Normal"/>
        <w:rPr>
          <w:sz w:val="24"/>
        </w:rPr>
      </w:pPr>
      <w:r>
        <w:rPr>
          <w:sz w:val="24"/>
        </w:rPr>
      </w:r>
    </w:p>
    <w:p>
      <w:pPr>
        <w:pStyle w:val="Normal"/>
        <w:numPr>
          <w:ilvl w:val="0"/>
          <w:numId w:val="2"/>
        </w:numPr>
        <w:rPr>
          <w:sz w:val="24"/>
        </w:rPr>
      </w:pPr>
      <w:r>
        <w:rPr>
          <w:sz w:val="24"/>
        </w:rPr>
        <w:t>Capacity Pricing:</w:t>
      </w:r>
    </w:p>
    <w:p>
      <w:pPr>
        <w:pStyle w:val="Normal"/>
        <w:rPr>
          <w:sz w:val="24"/>
        </w:rPr>
      </w:pPr>
      <w:r>
        <w:rPr>
          <w:sz w:val="24"/>
        </w:rPr>
      </w:r>
    </w:p>
    <w:p>
      <w:pPr>
        <w:pStyle w:val="Normal"/>
        <w:ind w:hanging="720" w:start="1440" w:end="0"/>
        <w:rPr>
          <w:sz w:val="24"/>
        </w:rPr>
      </w:pPr>
      <w:r>
        <w:rPr>
          <w:sz w:val="24"/>
        </w:rPr>
        <w:t>a)</w:t>
        <w:tab/>
        <w:t>If Enron elects to release the capacity for seven (7) years commencing November 1, 2001 Calpine will pay 100% of the as billed tariff rate plus an amount equal to 10.0% of the as billed tariff rate which 10.0% will be payable as an index premium in a subsequent gas supply arrangement or equivalent methodology on all capacity actually assigned, or</w:t>
      </w:r>
    </w:p>
    <w:p>
      <w:pPr>
        <w:pStyle w:val="Normal"/>
        <w:rPr>
          <w:sz w:val="24"/>
        </w:rPr>
      </w:pPr>
      <w:r>
        <w:rPr>
          <w:sz w:val="24"/>
        </w:rPr>
      </w:r>
    </w:p>
    <w:p>
      <w:pPr>
        <w:pStyle w:val="Normal"/>
        <w:numPr>
          <w:ilvl w:val="0"/>
          <w:numId w:val="3"/>
        </w:numPr>
        <w:rPr>
          <w:sz w:val="24"/>
        </w:rPr>
      </w:pPr>
      <w:r>
        <w:rPr>
          <w:sz w:val="24"/>
        </w:rPr>
        <w:t xml:space="preserve">If Enron elects to release the capacity through the expiration of the term of the underlying capacity (assumed to be 2023) the rate will be equal to 100% of the as billed tariff rate plus 1% of the as billed tariff rate payable as an index premium on all capacity actually assigned through October 31, 2008 and 88% of the as billed rate thereafter. </w:t>
      </w:r>
    </w:p>
    <w:p>
      <w:pPr>
        <w:pStyle w:val="Normal"/>
        <w:rPr>
          <w:sz w:val="24"/>
        </w:rPr>
      </w:pPr>
      <w:r>
        <w:rPr>
          <w:sz w:val="24"/>
        </w:rPr>
      </w:r>
    </w:p>
    <w:p>
      <w:pPr>
        <w:pStyle w:val="Normal"/>
        <w:numPr>
          <w:ilvl w:val="0"/>
          <w:numId w:val="2"/>
        </w:numPr>
        <w:rPr>
          <w:sz w:val="24"/>
        </w:rPr>
      </w:pPr>
      <w:r>
        <w:rPr>
          <w:sz w:val="24"/>
        </w:rPr>
        <w:t>Other terms as mutually agreed to effectuate the release of such capacity as may be required pursuant to rules, tariffs and regulations as may be in effect.</w:t>
      </w:r>
    </w:p>
    <w:p>
      <w:pPr>
        <w:pStyle w:val="Normal"/>
        <w:rPr>
          <w:sz w:val="24"/>
        </w:rPr>
      </w:pPr>
      <w:r>
        <w:rPr>
          <w:sz w:val="24"/>
        </w:rPr>
      </w:r>
    </w:p>
    <w:p>
      <w:pPr>
        <w:pStyle w:val="Normal"/>
        <w:rPr>
          <w:sz w:val="24"/>
        </w:rPr>
      </w:pPr>
      <w:r>
        <w:rPr>
          <w:sz w:val="24"/>
        </w:rPr>
        <w:t>Calpine considers this to be a valuable arrangement which may be coupled with one or more mutually advantageous gas supply arrangements in the immediate future.</w:t>
      </w:r>
    </w:p>
    <w:p>
      <w:pPr>
        <w:pStyle w:val="Normal"/>
        <w:rPr>
          <w:sz w:val="24"/>
        </w:rPr>
      </w:pPr>
      <w:r>
        <w:rPr>
          <w:sz w:val="24"/>
        </w:rPr>
      </w:r>
    </w:p>
    <w:p>
      <w:pPr>
        <w:pStyle w:val="Normal"/>
        <w:rPr>
          <w:sz w:val="24"/>
        </w:rPr>
      </w:pPr>
      <w:r>
        <w:rPr>
          <w:sz w:val="24"/>
        </w:rPr>
        <w:t xml:space="preserve">This proposal is subject to management approval and is intended to be for discussion purposes.  Please contact the undersigned to continue discussions on this proposal.  </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Brad A. Barnds</w:t>
      </w:r>
    </w:p>
    <w:p>
      <w:pPr>
        <w:pStyle w:val="Normal"/>
        <w:rPr>
          <w:sz w:val="24"/>
        </w:rPr>
      </w:pPr>
      <w:r>
        <w:rPr>
          <w:sz w:val="24"/>
        </w:rPr>
        <w:t>Vice President - Fuels</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440" w:right="1440"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2000-12-18T19:14:00Z</dcterms:created>
  <dc:creator>calpine</dc:creator>
  <dc:description/>
  <dc:language>en-CA</dc:language>
  <cp:lastModifiedBy>joego</cp:lastModifiedBy>
  <cp:lastPrinted>2000-12-18T14:32:00Z</cp:lastPrinted>
  <dcterms:modified xsi:type="dcterms:W3CDTF">2000-12-18T20:34:00Z</dcterms:modified>
  <cp:revision>3</cp:revision>
  <dc:subject/>
  <dc:title>Dave Kohler</dc:title>
</cp:coreProperties>
</file>