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clear" w:pos="3312"/>
          <w:tab w:val="clear" w:pos="4320"/>
        </w:tabs>
        <w:spacing w:before="240" w:after="0"/>
        <w:rPr>
          <w:rFonts w:ascii="Arial" w:hAnsi="Arial" w:cs="Arial"/>
          <w:b/>
          <w:sz w:val="22"/>
        </w:rPr>
      </w:pPr>
      <w:r>
        <w:rPr>
          <w:rFonts w:cs="Arial" w:ascii="Arial" w:hAnsi="Arial"/>
          <w:b/>
          <w:sz w:val="22"/>
        </w:rPr>
        <w:t>UNITED STATES OF AMERICA</w:t>
      </w:r>
    </w:p>
    <w:p>
      <w:pPr>
        <w:pStyle w:val="Normal"/>
        <w:spacing w:before="240" w:after="0"/>
        <w:jc w:val="center"/>
        <w:rPr>
          <w:rFonts w:ascii="Arial" w:hAnsi="Arial" w:cs="Arial"/>
          <w:b/>
          <w:sz w:val="22"/>
        </w:rPr>
      </w:pPr>
      <w:r>
        <w:rPr>
          <w:rFonts w:cs="Arial" w:ascii="Arial" w:hAnsi="Arial"/>
          <w:b/>
          <w:sz w:val="22"/>
        </w:rPr>
        <w:t>BEFORE THE</w:t>
      </w:r>
    </w:p>
    <w:p>
      <w:pPr>
        <w:pStyle w:val="Normal"/>
        <w:spacing w:before="240" w:after="0"/>
        <w:jc w:val="center"/>
        <w:rPr>
          <w:rFonts w:ascii="Arial" w:hAnsi="Arial" w:cs="Arial"/>
          <w:b/>
          <w:sz w:val="22"/>
        </w:rPr>
      </w:pPr>
      <w:r>
        <w:rPr>
          <w:rFonts w:cs="Arial" w:ascii="Arial" w:hAnsi="Arial"/>
          <w:b/>
          <w:sz w:val="22"/>
        </w:rPr>
        <w:t>FEDERAL ENERGY REGULATORY COMMISSION</w:t>
      </w:r>
    </w:p>
    <w:p>
      <w:pPr>
        <w:pStyle w:val="Normal"/>
        <w:spacing w:before="240" w:after="0"/>
        <w:ind w:end="-630"/>
        <w:rPr/>
      </w:pPr>
      <w:r>
        <w:rPr>
          <w:rFonts w:cs="Arial" w:ascii="Arial" w:hAnsi="Arial"/>
          <w:b/>
          <w:i/>
          <w:sz w:val="22"/>
        </w:rPr>
        <w:t>Pacific Gas &amp; Electric Company</w:t>
      </w:r>
      <w:r>
        <w:rPr>
          <w:rFonts w:cs="Arial" w:ascii="Arial" w:hAnsi="Arial"/>
          <w:b/>
          <w:sz w:val="22"/>
        </w:rPr>
        <w:t xml:space="preserve"> </w:t>
        <w:tab/>
        <w:t xml:space="preserve">            ) Docket Nos. ER01-313-000 and ER01-424-000</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5"/>
        <w:rPr/>
      </w:pPr>
      <w:r>
        <w:rPr/>
        <w:t xml:space="preserve">SECOND SET OF DISCOVERY REQUESTS OF PACIFIC </w:t>
      </w:r>
    </w:p>
    <w:p>
      <w:pPr>
        <w:pStyle w:val="Heading5"/>
        <w:rPr/>
      </w:pPr>
      <w:r>
        <w:rPr/>
        <w:t xml:space="preserve">GAS AND ELECTRIC COMPANY TO THE CALIFORNIA </w:t>
      </w:r>
    </w:p>
    <w:p>
      <w:pPr>
        <w:pStyle w:val="Normal"/>
        <w:jc w:val="center"/>
        <w:rPr>
          <w:rFonts w:ascii="Arial" w:hAnsi="Arial" w:cs="Arial"/>
          <w:b/>
          <w:sz w:val="24"/>
        </w:rPr>
      </w:pPr>
      <w:r>
        <w:rPr>
          <w:rFonts w:cs="Arial" w:ascii="Arial" w:hAnsi="Arial"/>
          <w:b/>
          <w:sz w:val="24"/>
        </w:rPr>
        <w:t xml:space="preserve">INDEPENDENT SYSTEM OPERATOR – </w:t>
      </w:r>
    </w:p>
    <w:p>
      <w:pPr>
        <w:pStyle w:val="Normal"/>
        <w:jc w:val="center"/>
        <w:rPr>
          <w:rFonts w:ascii="Arial" w:hAnsi="Arial" w:cs="Arial"/>
          <w:b/>
          <w:sz w:val="24"/>
        </w:rPr>
      </w:pPr>
      <w:r>
        <w:rPr>
          <w:rFonts w:cs="Arial" w:ascii="Arial" w:hAnsi="Arial"/>
          <w:b/>
          <w:sz w:val="24"/>
        </w:rPr>
        <w:t>QUESTIONS 22 and 26</w:t>
      </w:r>
    </w:p>
    <w:p>
      <w:pPr>
        <w:pStyle w:val="Normal"/>
        <w:rPr>
          <w:rFonts w:ascii="Arial" w:hAnsi="Arial" w:cs="Arial"/>
          <w:b/>
          <w:sz w:val="24"/>
        </w:rPr>
      </w:pPr>
      <w:r>
        <w:rPr>
          <w:rFonts w:cs="Arial" w:ascii="Arial" w:hAnsi="Arial"/>
          <w:b/>
          <w:sz w:val="24"/>
        </w:rPr>
      </w:r>
    </w:p>
    <w:p>
      <w:pPr>
        <w:pStyle w:val="Heading2"/>
        <w:ind w:hanging="1800" w:start="1800" w:end="0"/>
        <w:rPr/>
      </w:pPr>
      <w:r>
        <w:rPr/>
        <w:t>PGE-ISO-22</w:t>
      </w:r>
      <w:r>
        <w:rPr>
          <w:b w:val="false"/>
        </w:rPr>
        <w:tab/>
        <w:t xml:space="preserve">Please provide a table or spread sheet, indicating the ISO- invoiced amounts (in dollars and billing determinants) for the GMC to each Scheduling Coordinators or “other appropriate parties” (or billed entity specifically including but not limited to CCSF, BART NCPA, SVP, SMUD, Western TID, MID)  for each month of 2001 for which invoices, whether preliminary or adjustments, or final, have been issued.   In the event that no such table or spread sheet exists, please provide copies of invoices such that PG&amp;E can prepare such a table.  This table (data) should consist of every entity billed, the dollar amount invoiced for </w:t>
      </w:r>
      <w:r>
        <w:rPr>
          <w:b w:val="false"/>
          <w:u w:val="single"/>
        </w:rPr>
        <w:t>each</w:t>
      </w:r>
      <w:r>
        <w:rPr>
          <w:b w:val="false"/>
        </w:rPr>
        <w:t xml:space="preserve"> of the </w:t>
      </w:r>
      <w:r>
        <w:rPr>
          <w:b w:val="false"/>
          <w:u w:val="single"/>
        </w:rPr>
        <w:t>3 buckets</w:t>
      </w:r>
      <w:r>
        <w:rPr>
          <w:b w:val="false"/>
        </w:rPr>
        <w:t xml:space="preserve"> (and by </w:t>
      </w:r>
      <w:r>
        <w:rPr>
          <w:b w:val="false"/>
          <w:u w:val="single"/>
        </w:rPr>
        <w:t>ancillary service</w:t>
      </w:r>
      <w:r>
        <w:rPr>
          <w:b w:val="false"/>
        </w:rPr>
        <w:t xml:space="preserve"> for the </w:t>
      </w:r>
      <w:r>
        <w:rPr>
          <w:b w:val="false"/>
          <w:u w:val="single"/>
        </w:rPr>
        <w:t>3rd bucket</w:t>
      </w:r>
      <w:r>
        <w:rPr>
          <w:b w:val="false"/>
        </w:rPr>
        <w:t>) and the corresponding billable quantity (or billing determinant).</w:t>
      </w:r>
      <w:r>
        <w:br w:type="page"/>
      </w:r>
    </w:p>
    <w:p>
      <w:pPr>
        <w:pStyle w:val="Heading2"/>
        <w:spacing w:before="0" w:after="240"/>
        <w:ind w:hanging="1800" w:start="1800" w:end="0"/>
        <w:rPr/>
      </w:pPr>
      <w:r>
        <w:rPr>
          <w:color w:val="000000"/>
        </w:rPr>
        <w:t>PGE-ISO-26</w:t>
      </w:r>
      <w:r>
        <w:rPr>
          <w:b w:val="false"/>
          <w:color w:val="000000"/>
        </w:rPr>
        <w:tab/>
        <w:t xml:space="preserve">For each entity invoiced a GMC for the behind-the-meter load (such as a muni), please provide a list of the entities invoiced, the billable quantity, and the amount ($) invoiced.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PG&amp;E-ISO-%1."/>
      <w:lvlJc w:val="start"/>
      <w:pPr>
        <w:tabs>
          <w:tab w:val="num" w:pos="1944"/>
        </w:tabs>
        <w:ind w:start="1944" w:hanging="1944"/>
      </w:pPr>
      <w:rPr>
        <w:sz w:val="22"/>
        <w:i w:val="false"/>
        <w:b/>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ascii="Arial" w:hAnsi="Arial" w:cs="Arial"/>
      <w:sz w:val="22"/>
    </w:rPr>
  </w:style>
  <w:style w:type="paragraph" w:styleId="Heading2">
    <w:name w:val="heading 2"/>
    <w:basedOn w:val="Normal"/>
    <w:next w:val="Normal"/>
    <w:qFormat/>
    <w:pPr>
      <w:keepNext w:val="true"/>
      <w:spacing w:before="0" w:after="240"/>
      <w:outlineLvl w:val="1"/>
    </w:pPr>
    <w:rPr>
      <w:rFonts w:ascii="Arial" w:hAnsi="Arial" w:cs="Arial"/>
      <w:b/>
      <w:bCs/>
      <w:sz w:val="24"/>
    </w:rPr>
  </w:style>
  <w:style w:type="paragraph" w:styleId="Heading3">
    <w:name w:val="heading 3"/>
    <w:basedOn w:val="Normal"/>
    <w:next w:val="Normal"/>
    <w:qFormat/>
    <w:pPr>
      <w:keepNext w:val="true"/>
      <w:widowControl w:val="false"/>
      <w:outlineLvl w:val="2"/>
    </w:pPr>
    <w:rPr>
      <w:rFonts w:ascii="TIMES" w:hAnsi="TIMES" w:cs="TIMES"/>
      <w:sz w:val="24"/>
    </w:rPr>
  </w:style>
  <w:style w:type="paragraph" w:styleId="Heading4">
    <w:name w:val="heading 4"/>
    <w:basedOn w:val="Normal"/>
    <w:next w:val="Normal"/>
    <w:qFormat/>
    <w:pPr>
      <w:keepNext w:val="true"/>
      <w:outlineLvl w:val="3"/>
    </w:pPr>
    <w:rPr>
      <w:rFonts w:ascii="Arial" w:hAnsi="Arial" w:cs="Arial"/>
      <w:color w:val="FF0000"/>
      <w:sz w:val="24"/>
    </w:rPr>
  </w:style>
  <w:style w:type="paragraph" w:styleId="Heading5">
    <w:name w:val="heading 5"/>
    <w:basedOn w:val="Normal"/>
    <w:next w:val="Normal"/>
    <w:qFormat/>
    <w:pPr>
      <w:keepNext w:val="true"/>
      <w:jc w:val="center"/>
      <w:outlineLvl w:val="4"/>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3z0">
    <w:name w:val="WW8Num13z0"/>
    <w:qFormat/>
    <w:rPr/>
  </w:style>
  <w:style w:type="character" w:styleId="WW8Num18z0">
    <w:name w:val="WW8Num18z0"/>
    <w:qFormat/>
    <w:rPr/>
  </w:style>
  <w:style w:type="character" w:styleId="WW8Num20z0">
    <w:name w:val="WW8Num20z0"/>
    <w:qFormat/>
    <w:rPr>
      <w:rFonts w:ascii="Arial" w:hAnsi="Arial" w:cs="Arial"/>
      <w:b/>
      <w:i w:val="false"/>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tabs>
        <w:tab w:val="clear" w:pos="720"/>
        <w:tab w:val="left" w:pos="3312" w:leader="none"/>
        <w:tab w:val="left" w:pos="4320" w:leader="none"/>
      </w:tabs>
      <w:spacing w:before="240" w:after="0"/>
      <w:jc w:val="center"/>
    </w:pPr>
    <w:rPr>
      <w:rFonts w:ascii="TIMES" w:hAnsi="TIMES" w:cs="TIME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pPr>
    <w:rPr>
      <w:rFonts w:ascii="Arial" w:hAnsi="Arial" w:cs="Arial"/>
      <w:sz w:val="22"/>
      <w:u w:val="single"/>
    </w:rPr>
  </w:style>
  <w:style w:type="paragraph" w:styleId="BodyTextIndent3">
    <w:name w:val="Body Text Indent 3"/>
    <w:basedOn w:val="Normal"/>
    <w:qFormat/>
    <w:pPr>
      <w:widowControl w:val="false"/>
      <w:tabs>
        <w:tab w:val="left" w:pos="720" w:leader="none"/>
      </w:tabs>
      <w:ind w:hanging="720" w:start="720" w:end="0"/>
    </w:pPr>
    <w:rPr>
      <w:rFonts w:ascii="Arial" w:hAnsi="Arial" w:cs="Arial"/>
      <w:sz w:val="22"/>
    </w:rPr>
  </w:style>
  <w:style w:type="paragraph" w:styleId="BodyText21">
    <w:name w:val="Body Text 21"/>
    <w:basedOn w:val="Normal"/>
    <w:qFormat/>
    <w:pPr>
      <w:widowControl w:val="false"/>
    </w:pPr>
    <w:rPr>
      <w:rFonts w:ascii="Arial" w:hAnsi="Arial" w:cs="Arial"/>
      <w:sz w:val="22"/>
    </w:rPr>
  </w:style>
  <w:style w:type="paragraph" w:styleId="BodyText3">
    <w:name w:val="Body Text 3"/>
    <w:basedOn w:val="Normal"/>
    <w:qFormat/>
    <w:pPr>
      <w:jc w:val="center"/>
    </w:pPr>
    <w:rPr>
      <w:rFonts w:ascii="Arial" w:hAnsi="Arial" w:cs="Arial"/>
      <w:b/>
      <w:sz w:val="22"/>
    </w:rPr>
  </w:style>
  <w:style w:type="paragraph" w:styleId="BodyTextIndent">
    <w:name w:val="Body Text Indent"/>
    <w:basedOn w:val="Normal"/>
    <w:pPr>
      <w:ind w:hanging="0" w:start="720" w:end="0"/>
    </w:pPr>
    <w:rPr>
      <w:color w:val="FF0000"/>
      <w:sz w:val="22"/>
    </w:rPr>
  </w:style>
  <w:style w:type="paragraph" w:styleId="BodyTextIndent2">
    <w:name w:val="Body Text Indent 2"/>
    <w:basedOn w:val="Normal"/>
    <w:qFormat/>
    <w:pPr>
      <w:ind w:firstLine="720" w:start="0" w:end="0"/>
    </w:pPr>
    <w:rPr>
      <w:rFonts w:ascii="Arial" w:hAnsi="Arial" w:cs="Arial"/>
      <w:color w:val="FF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2001-06-15T14:45:00Z</dcterms:created>
  <dc:creator>PGE</dc:creator>
  <dc:description/>
  <dc:language>en-CA</dc:language>
  <cp:lastModifiedBy>jm3</cp:lastModifiedBy>
  <cp:lastPrinted>2001-06-08T13:44:00Z</cp:lastPrinted>
  <dcterms:modified xsi:type="dcterms:W3CDTF">2001-06-15T15:11:00Z</dcterms:modified>
  <cp:revision>4</cp:revision>
  <dc:subject/>
  <dc:title>1</dc:title>
</cp:coreProperties>
</file>