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b/>
          <w:bCs/>
        </w:rPr>
      </w:pPr>
      <w:r>
        <w:rPr>
          <w:b/>
          <w:bCs/>
        </w:rPr>
        <w:t>PG&amp;E FERC FILINGS</w:t>
      </w:r>
    </w:p>
    <w:p>
      <w:pPr>
        <w:pStyle w:val="Normal"/>
        <w:widowControl/>
        <w:jc w:val="center"/>
        <w:rPr/>
      </w:pPr>
      <w:r>
        <w:rPr/>
        <w:t>June 15, through July 16, 2001</w:t>
      </w:r>
    </w:p>
    <w:tbl>
      <w:tblPr>
        <w:tblW w:w="9000" w:type="dxa"/>
        <w:jc w:val="start"/>
        <w:tblInd w:w="18" w:type="dxa"/>
        <w:tblLayout w:type="fixed"/>
        <w:tblCellMar>
          <w:top w:w="0" w:type="dxa"/>
          <w:start w:w="108" w:type="dxa"/>
          <w:bottom w:w="0" w:type="dxa"/>
          <w:end w:w="108" w:type="dxa"/>
        </w:tblCellMar>
      </w:tblPr>
      <w:tblGrid>
        <w:gridCol w:w="2084"/>
        <w:gridCol w:w="1976"/>
        <w:gridCol w:w="4940"/>
      </w:tblGrid>
      <w:tr>
        <w:trPr/>
        <w:tc>
          <w:tcPr>
            <w:tcW w:w="2084" w:type="dxa"/>
            <w:tcBorders>
              <w:top w:val="single" w:sz="6" w:space="0" w:color="000000"/>
              <w:start w:val="single" w:sz="6" w:space="0" w:color="000000"/>
              <w:bottom w:val="single" w:sz="6" w:space="0" w:color="000000"/>
              <w:end w:val="single" w:sz="6" w:space="0" w:color="000000"/>
            </w:tcBorders>
          </w:tcPr>
          <w:p>
            <w:pPr>
              <w:pStyle w:val="Normal"/>
              <w:widowControl/>
              <w:rPr/>
            </w:pPr>
            <w:r>
              <w:rPr/>
              <w:t>June 18, 2001</w:t>
            </w:r>
          </w:p>
        </w:tc>
        <w:tc>
          <w:tcPr>
            <w:tcW w:w="1976" w:type="dxa"/>
            <w:tcBorders>
              <w:top w:val="single" w:sz="6" w:space="0" w:color="000000"/>
              <w:start w:val="single" w:sz="6" w:space="0" w:color="000000"/>
              <w:bottom w:val="single" w:sz="6" w:space="0" w:color="000000"/>
              <w:end w:val="single" w:sz="6" w:space="0" w:color="000000"/>
            </w:tcBorders>
          </w:tcPr>
          <w:p>
            <w:pPr>
              <w:pStyle w:val="Normal"/>
              <w:widowControl/>
              <w:rPr/>
            </w:pPr>
            <w:r>
              <w:rPr/>
              <w:t>ER01-1619-000</w:t>
            </w:r>
          </w:p>
        </w:tc>
        <w:tc>
          <w:tcPr>
            <w:tcW w:w="4940" w:type="dxa"/>
            <w:tcBorders>
              <w:top w:val="single" w:sz="6" w:space="0" w:color="000000"/>
              <w:start w:val="single" w:sz="6" w:space="0" w:color="000000"/>
              <w:bottom w:val="single" w:sz="6" w:space="0" w:color="000000"/>
              <w:end w:val="single" w:sz="6" w:space="0" w:color="000000"/>
            </w:tcBorders>
          </w:tcPr>
          <w:p>
            <w:pPr>
              <w:pStyle w:val="Normal"/>
              <w:rPr/>
            </w:pPr>
            <w:r>
              <w:rPr/>
              <w:t>Request for Rehearing of Pacific Gas and Electric Company and Southern California Edison Company.</w:t>
            </w:r>
          </w:p>
          <w:p>
            <w:pPr>
              <w:pStyle w:val="Normal"/>
              <w:rPr/>
            </w:pPr>
            <w:r>
              <w:rPr/>
              <w:t>Requests rehearing of the Commission’s order granting Duke Mohave, LLC’s market-based rates.</w:t>
            </w:r>
          </w:p>
        </w:tc>
      </w:tr>
      <w:tr>
        <w:trPr/>
        <w:tc>
          <w:tcPr>
            <w:tcW w:w="2084" w:type="dxa"/>
            <w:tcBorders>
              <w:top w:val="single" w:sz="6" w:space="0" w:color="000000"/>
              <w:start w:val="single" w:sz="6" w:space="0" w:color="000000"/>
              <w:bottom w:val="single" w:sz="6" w:space="0" w:color="000000"/>
              <w:end w:val="single" w:sz="6" w:space="0" w:color="000000"/>
            </w:tcBorders>
          </w:tcPr>
          <w:p>
            <w:pPr>
              <w:pStyle w:val="Normal"/>
              <w:widowControl/>
              <w:rPr/>
            </w:pPr>
            <w:r>
              <w:rPr/>
              <w:t>June 25, 2001</w:t>
            </w:r>
          </w:p>
        </w:tc>
        <w:tc>
          <w:tcPr>
            <w:tcW w:w="1976" w:type="dxa"/>
            <w:tcBorders>
              <w:top w:val="single" w:sz="6" w:space="0" w:color="000000"/>
              <w:start w:val="single" w:sz="6" w:space="0" w:color="000000"/>
              <w:bottom w:val="single" w:sz="6" w:space="0" w:color="000000"/>
              <w:end w:val="single" w:sz="6" w:space="0" w:color="000000"/>
            </w:tcBorders>
          </w:tcPr>
          <w:p>
            <w:pPr>
              <w:pStyle w:val="Normal"/>
              <w:widowControl/>
              <w:rPr/>
            </w:pPr>
            <w:r>
              <w:rPr/>
              <w:t>ER01-2217-000</w:t>
            </w:r>
          </w:p>
        </w:tc>
        <w:tc>
          <w:tcPr>
            <w:tcW w:w="4940" w:type="dxa"/>
            <w:tcBorders>
              <w:top w:val="single" w:sz="6" w:space="0" w:color="000000"/>
              <w:start w:val="single" w:sz="6" w:space="0" w:color="000000"/>
              <w:bottom w:val="single" w:sz="6" w:space="0" w:color="000000"/>
              <w:end w:val="single" w:sz="6" w:space="0" w:color="000000"/>
            </w:tcBorders>
          </w:tcPr>
          <w:p>
            <w:pPr>
              <w:pStyle w:val="Normal"/>
              <w:rPr/>
            </w:pPr>
            <w:r>
              <w:rPr/>
              <w:t>Motion to Intervene of Pacific Gas and Electric Company in Sunrise Power Company, Inc.’s application for market-based rate authority.</w:t>
            </w:r>
          </w:p>
        </w:tc>
      </w:tr>
      <w:tr>
        <w:trPr/>
        <w:tc>
          <w:tcPr>
            <w:tcW w:w="2084" w:type="dxa"/>
            <w:tcBorders>
              <w:top w:val="single" w:sz="6" w:space="0" w:color="000000"/>
              <w:start w:val="single" w:sz="6" w:space="0" w:color="000000"/>
              <w:bottom w:val="single" w:sz="6" w:space="0" w:color="000000"/>
              <w:end w:val="single" w:sz="6" w:space="0" w:color="000000"/>
            </w:tcBorders>
          </w:tcPr>
          <w:p>
            <w:pPr>
              <w:pStyle w:val="Normal"/>
              <w:widowControl/>
              <w:rPr/>
            </w:pPr>
            <w:r>
              <w:rPr/>
              <w:t>June 25, 2001</w:t>
            </w:r>
          </w:p>
        </w:tc>
        <w:tc>
          <w:tcPr>
            <w:tcW w:w="1976" w:type="dxa"/>
            <w:tcBorders>
              <w:top w:val="single" w:sz="6" w:space="0" w:color="000000"/>
              <w:start w:val="single" w:sz="6" w:space="0" w:color="000000"/>
              <w:bottom w:val="single" w:sz="6" w:space="0" w:color="000000"/>
              <w:end w:val="single" w:sz="6" w:space="0" w:color="000000"/>
            </w:tcBorders>
          </w:tcPr>
          <w:p>
            <w:pPr>
              <w:pStyle w:val="Normal"/>
              <w:widowControl/>
              <w:rPr/>
            </w:pPr>
            <w:r>
              <w:rPr/>
              <w:t>ER01-2224-000</w:t>
            </w:r>
          </w:p>
        </w:tc>
        <w:tc>
          <w:tcPr>
            <w:tcW w:w="4940" w:type="dxa"/>
            <w:tcBorders>
              <w:top w:val="single" w:sz="6" w:space="0" w:color="000000"/>
              <w:start w:val="single" w:sz="6" w:space="0" w:color="000000"/>
              <w:bottom w:val="single" w:sz="6" w:space="0" w:color="000000"/>
              <w:end w:val="single" w:sz="6" w:space="0" w:color="000000"/>
            </w:tcBorders>
          </w:tcPr>
          <w:p>
            <w:pPr>
              <w:pStyle w:val="Normal"/>
              <w:rPr/>
            </w:pPr>
            <w:r>
              <w:rPr/>
              <w:t>Motion to Intervene Out of Time of Pacific Gas and Electric Company in Nordic Barge #1 and #2’s application for market-based rate authority.</w:t>
            </w:r>
          </w:p>
        </w:tc>
      </w:tr>
      <w:tr>
        <w:trPr/>
        <w:tc>
          <w:tcPr>
            <w:tcW w:w="2084" w:type="dxa"/>
            <w:tcBorders>
              <w:top w:val="single" w:sz="6" w:space="0" w:color="000000"/>
              <w:start w:val="single" w:sz="6" w:space="0" w:color="000000"/>
              <w:bottom w:val="single" w:sz="6" w:space="0" w:color="000000"/>
              <w:end w:val="single" w:sz="6" w:space="0" w:color="000000"/>
            </w:tcBorders>
          </w:tcPr>
          <w:p>
            <w:pPr>
              <w:pStyle w:val="Normal"/>
              <w:widowControl/>
              <w:rPr/>
            </w:pPr>
            <w:r>
              <w:rPr/>
              <w:t>June 25, 2001</w:t>
            </w:r>
          </w:p>
        </w:tc>
        <w:tc>
          <w:tcPr>
            <w:tcW w:w="1976" w:type="dxa"/>
            <w:tcBorders>
              <w:top w:val="single" w:sz="6" w:space="0" w:color="000000"/>
              <w:start w:val="single" w:sz="6" w:space="0" w:color="000000"/>
              <w:bottom w:val="single" w:sz="6" w:space="0" w:color="000000"/>
              <w:end w:val="single" w:sz="6" w:space="0" w:color="000000"/>
            </w:tcBorders>
          </w:tcPr>
          <w:p>
            <w:pPr>
              <w:pStyle w:val="Normal"/>
              <w:widowControl/>
              <w:rPr/>
            </w:pPr>
            <w:r>
              <w:rPr/>
              <w:t>ER01-2233-000</w:t>
            </w:r>
          </w:p>
        </w:tc>
        <w:tc>
          <w:tcPr>
            <w:tcW w:w="4940" w:type="dxa"/>
            <w:tcBorders>
              <w:top w:val="single" w:sz="6" w:space="0" w:color="000000"/>
              <w:start w:val="single" w:sz="6" w:space="0" w:color="000000"/>
              <w:bottom w:val="single" w:sz="6" w:space="0" w:color="000000"/>
              <w:end w:val="single" w:sz="6" w:space="0" w:color="000000"/>
            </w:tcBorders>
          </w:tcPr>
          <w:p>
            <w:pPr>
              <w:pStyle w:val="Normal"/>
              <w:rPr/>
            </w:pPr>
            <w:r>
              <w:rPr/>
              <w:t>Motion to Intervene of Pacific Gas and Electric Company in GWF Energy LLC’s application for market-based rate authority.</w:t>
            </w:r>
          </w:p>
        </w:tc>
      </w:tr>
      <w:tr>
        <w:trPr/>
        <w:tc>
          <w:tcPr>
            <w:tcW w:w="2084" w:type="dxa"/>
            <w:tcBorders>
              <w:top w:val="single" w:sz="6" w:space="0" w:color="000000"/>
              <w:start w:val="single" w:sz="6" w:space="0" w:color="000000"/>
              <w:bottom w:val="single" w:sz="6" w:space="0" w:color="000000"/>
              <w:end w:val="single" w:sz="6" w:space="0" w:color="000000"/>
            </w:tcBorders>
          </w:tcPr>
          <w:p>
            <w:pPr>
              <w:pStyle w:val="Normal"/>
              <w:widowControl/>
              <w:rPr/>
            </w:pPr>
            <w:r>
              <w:rPr/>
              <w:t>June 25, 2001</w:t>
            </w:r>
          </w:p>
        </w:tc>
        <w:tc>
          <w:tcPr>
            <w:tcW w:w="1976" w:type="dxa"/>
            <w:tcBorders>
              <w:top w:val="single" w:sz="6" w:space="0" w:color="000000"/>
              <w:start w:val="single" w:sz="6" w:space="0" w:color="000000"/>
              <w:bottom w:val="single" w:sz="6" w:space="0" w:color="000000"/>
              <w:end w:val="single" w:sz="6" w:space="0" w:color="000000"/>
            </w:tcBorders>
          </w:tcPr>
          <w:p>
            <w:pPr>
              <w:pStyle w:val="Normal"/>
              <w:widowControl/>
              <w:rPr/>
            </w:pPr>
            <w:r>
              <w:rPr/>
              <w:t>ER01-2216-000</w:t>
            </w:r>
          </w:p>
        </w:tc>
        <w:tc>
          <w:tcPr>
            <w:tcW w:w="4940" w:type="dxa"/>
            <w:tcBorders>
              <w:top w:val="single" w:sz="6" w:space="0" w:color="000000"/>
              <w:start w:val="single" w:sz="6" w:space="0" w:color="000000"/>
              <w:bottom w:val="single" w:sz="6" w:space="0" w:color="000000"/>
              <w:end w:val="single" w:sz="6" w:space="0" w:color="000000"/>
            </w:tcBorders>
          </w:tcPr>
          <w:p>
            <w:pPr>
              <w:pStyle w:val="Normal"/>
              <w:rPr/>
            </w:pPr>
            <w:r>
              <w:rPr/>
              <w:t>Motion to Intervene of Pacific Gas and Electric Company in Automated Power Exchange’s application to provide market and scheduling services at the Palo Verde hub through a new APX West Wide Market.</w:t>
            </w:r>
          </w:p>
        </w:tc>
      </w:tr>
      <w:tr>
        <w:trPr/>
        <w:tc>
          <w:tcPr>
            <w:tcW w:w="2084" w:type="dxa"/>
            <w:tcBorders>
              <w:top w:val="single" w:sz="6" w:space="0" w:color="000000"/>
              <w:start w:val="single" w:sz="6" w:space="0" w:color="000000"/>
              <w:bottom w:val="single" w:sz="6" w:space="0" w:color="000000"/>
              <w:end w:val="single" w:sz="6" w:space="0" w:color="000000"/>
            </w:tcBorders>
          </w:tcPr>
          <w:p>
            <w:pPr>
              <w:pStyle w:val="Normal"/>
              <w:widowControl/>
              <w:rPr/>
            </w:pPr>
            <w:r>
              <w:rPr/>
              <w:t>June 26, 2001</w:t>
            </w:r>
          </w:p>
        </w:tc>
        <w:tc>
          <w:tcPr>
            <w:tcW w:w="1976" w:type="dxa"/>
            <w:tcBorders>
              <w:top w:val="single" w:sz="6" w:space="0" w:color="000000"/>
              <w:start w:val="single" w:sz="6" w:space="0" w:color="000000"/>
              <w:bottom w:val="single" w:sz="6" w:space="0" w:color="000000"/>
              <w:end w:val="single" w:sz="6" w:space="0" w:color="000000"/>
            </w:tcBorders>
          </w:tcPr>
          <w:p>
            <w:pPr>
              <w:pStyle w:val="Normal"/>
              <w:widowControl/>
              <w:rPr/>
            </w:pPr>
            <w:r>
              <w:rPr/>
              <w:t>ER99-1833-000; ER99-1842-000; ER97-4166-000; ER99-1841-000</w:t>
            </w:r>
          </w:p>
        </w:tc>
        <w:tc>
          <w:tcPr>
            <w:tcW w:w="4940" w:type="dxa"/>
            <w:tcBorders>
              <w:top w:val="single" w:sz="6" w:space="0" w:color="000000"/>
              <w:start w:val="single" w:sz="6" w:space="0" w:color="000000"/>
              <w:bottom w:val="single" w:sz="6" w:space="0" w:color="000000"/>
              <w:end w:val="single" w:sz="6" w:space="0" w:color="000000"/>
            </w:tcBorders>
          </w:tcPr>
          <w:p>
            <w:pPr>
              <w:pStyle w:val="Normal"/>
              <w:rPr/>
            </w:pPr>
            <w:r>
              <w:rPr/>
              <w:t>Motion to Intervene Out of Time of Pacific Gas and Electric Company in ISO’s Emergency Motions to terminate market-based rate authority of Mirant Potrero, Mirant Delta, Southern Company Energy Marketing, LP, and Mirant California.</w:t>
            </w:r>
          </w:p>
        </w:tc>
      </w:tr>
      <w:tr>
        <w:trPr/>
        <w:tc>
          <w:tcPr>
            <w:tcW w:w="2084" w:type="dxa"/>
            <w:tcBorders>
              <w:top w:val="single" w:sz="6" w:space="0" w:color="000000"/>
              <w:start w:val="single" w:sz="6" w:space="0" w:color="000000"/>
              <w:bottom w:val="single" w:sz="6" w:space="0" w:color="000000"/>
              <w:end w:val="single" w:sz="6" w:space="0" w:color="000000"/>
            </w:tcBorders>
          </w:tcPr>
          <w:p>
            <w:pPr>
              <w:pStyle w:val="Normal"/>
              <w:widowControl/>
              <w:rPr/>
            </w:pPr>
            <w:r>
              <w:rPr/>
              <w:t>June 26, 2001</w:t>
            </w:r>
          </w:p>
        </w:tc>
        <w:tc>
          <w:tcPr>
            <w:tcW w:w="1976" w:type="dxa"/>
            <w:tcBorders>
              <w:top w:val="single" w:sz="6" w:space="0" w:color="000000"/>
              <w:start w:val="single" w:sz="6" w:space="0" w:color="000000"/>
              <w:bottom w:val="single" w:sz="6" w:space="0" w:color="000000"/>
              <w:end w:val="single" w:sz="6" w:space="0" w:color="000000"/>
            </w:tcBorders>
          </w:tcPr>
          <w:p>
            <w:pPr>
              <w:pStyle w:val="Normal"/>
              <w:widowControl/>
              <w:rPr/>
            </w:pPr>
            <w:r>
              <w:rPr/>
              <w:t>ER99-1785-000; ER99-2774-000</w:t>
            </w:r>
          </w:p>
        </w:tc>
        <w:tc>
          <w:tcPr>
            <w:tcW w:w="4940" w:type="dxa"/>
            <w:tcBorders>
              <w:top w:val="single" w:sz="6" w:space="0" w:color="000000"/>
              <w:start w:val="single" w:sz="6" w:space="0" w:color="000000"/>
              <w:bottom w:val="single" w:sz="6" w:space="0" w:color="000000"/>
              <w:end w:val="single" w:sz="6" w:space="0" w:color="000000"/>
            </w:tcBorders>
          </w:tcPr>
          <w:p>
            <w:pPr>
              <w:pStyle w:val="Normal"/>
              <w:rPr/>
            </w:pPr>
            <w:r>
              <w:rPr/>
              <w:t>Motion to Intervene Out of Time of Pacific Gas and Electric Company in the ISO’s Emergency Motions to terminate market-based rate authority of Duke Energy South Bay and Duke Energy Trading and Marketing.</w:t>
            </w:r>
          </w:p>
        </w:tc>
      </w:tr>
      <w:tr>
        <w:trPr/>
        <w:tc>
          <w:tcPr>
            <w:tcW w:w="2084" w:type="dxa"/>
            <w:tcBorders>
              <w:top w:val="single" w:sz="6" w:space="0" w:color="000000"/>
              <w:start w:val="single" w:sz="6" w:space="0" w:color="000000"/>
              <w:bottom w:val="single" w:sz="6" w:space="0" w:color="000000"/>
              <w:end w:val="single" w:sz="6" w:space="0" w:color="000000"/>
            </w:tcBorders>
          </w:tcPr>
          <w:p>
            <w:pPr>
              <w:pStyle w:val="Normal"/>
              <w:widowControl/>
              <w:rPr/>
            </w:pPr>
            <w:r>
              <w:rPr/>
              <w:t>June 26, 2001</w:t>
            </w:r>
          </w:p>
        </w:tc>
        <w:tc>
          <w:tcPr>
            <w:tcW w:w="1976" w:type="dxa"/>
            <w:tcBorders>
              <w:top w:val="single" w:sz="6" w:space="0" w:color="000000"/>
              <w:start w:val="single" w:sz="6" w:space="0" w:color="000000"/>
              <w:bottom w:val="single" w:sz="6" w:space="0" w:color="000000"/>
              <w:end w:val="single" w:sz="6" w:space="0" w:color="000000"/>
            </w:tcBorders>
          </w:tcPr>
          <w:p>
            <w:pPr>
              <w:pStyle w:val="Normal"/>
              <w:widowControl/>
              <w:rPr/>
            </w:pPr>
            <w:r>
              <w:rPr/>
              <w:t>ER99-1801-000</w:t>
            </w:r>
          </w:p>
        </w:tc>
        <w:tc>
          <w:tcPr>
            <w:tcW w:w="4940" w:type="dxa"/>
            <w:tcBorders>
              <w:top w:val="single" w:sz="6" w:space="0" w:color="000000"/>
              <w:start w:val="single" w:sz="6" w:space="0" w:color="000000"/>
              <w:bottom w:val="single" w:sz="6" w:space="0" w:color="000000"/>
              <w:end w:val="single" w:sz="6" w:space="0" w:color="000000"/>
            </w:tcBorders>
          </w:tcPr>
          <w:p>
            <w:pPr>
              <w:pStyle w:val="Normal"/>
              <w:rPr/>
            </w:pPr>
            <w:r>
              <w:rPr/>
              <w:t>Motion to Intervene Out of Time of Pacific Gas and Electric Company in the ISO’s Emergency Motion to terminate Reliant Energy Services, Inc.’s market-based rate authority.</w:t>
            </w:r>
          </w:p>
        </w:tc>
      </w:tr>
      <w:tr>
        <w:trPr/>
        <w:tc>
          <w:tcPr>
            <w:tcW w:w="2084" w:type="dxa"/>
            <w:tcBorders>
              <w:top w:val="single" w:sz="6" w:space="0" w:color="000000"/>
              <w:start w:val="single" w:sz="6" w:space="0" w:color="000000"/>
              <w:bottom w:val="single" w:sz="6" w:space="0" w:color="000000"/>
              <w:end w:val="single" w:sz="6" w:space="0" w:color="000000"/>
            </w:tcBorders>
          </w:tcPr>
          <w:p>
            <w:pPr>
              <w:pStyle w:val="Normal"/>
              <w:widowControl/>
              <w:rPr/>
            </w:pPr>
            <w:r>
              <w:rPr/>
              <w:t>June 26, 2001</w:t>
            </w:r>
          </w:p>
        </w:tc>
        <w:tc>
          <w:tcPr>
            <w:tcW w:w="1976" w:type="dxa"/>
            <w:tcBorders>
              <w:top w:val="single" w:sz="6" w:space="0" w:color="000000"/>
              <w:start w:val="single" w:sz="6" w:space="0" w:color="000000"/>
              <w:bottom w:val="single" w:sz="6" w:space="0" w:color="000000"/>
              <w:end w:val="single" w:sz="6" w:space="0" w:color="000000"/>
            </w:tcBorders>
          </w:tcPr>
          <w:p>
            <w:pPr>
              <w:pStyle w:val="Normal"/>
              <w:widowControl/>
              <w:rPr/>
            </w:pPr>
            <w:r>
              <w:rPr/>
              <w:t>ER94-1612-000; ER99-4160-000</w:t>
            </w:r>
          </w:p>
        </w:tc>
        <w:tc>
          <w:tcPr>
            <w:tcW w:w="4940" w:type="dxa"/>
            <w:tcBorders>
              <w:top w:val="single" w:sz="6" w:space="0" w:color="000000"/>
              <w:start w:val="single" w:sz="6" w:space="0" w:color="000000"/>
              <w:bottom w:val="single" w:sz="6" w:space="0" w:color="000000"/>
              <w:end w:val="single" w:sz="6" w:space="0" w:color="000000"/>
            </w:tcBorders>
          </w:tcPr>
          <w:p>
            <w:pPr>
              <w:pStyle w:val="Normal"/>
              <w:rPr/>
            </w:pPr>
            <w:r>
              <w:rPr/>
              <w:t>Motion to Intervene Out of Time of Pacific Gas and Electric Company in the ISO’s Emergency Motions to terminate Dynegy Power Services, Inc. and Dynegy Power Marketing, Inc.’s market-based rate authority.</w:t>
            </w:r>
          </w:p>
        </w:tc>
      </w:tr>
    </w:tbl>
    <w:p>
      <w:pPr>
        <w:pStyle w:val="Normal"/>
        <w:rPr/>
      </w:pPr>
      <w:r>
        <w:br w:type="page"/>
      </w:r>
      <w:r>
        <w:rPr/>
      </w:r>
    </w:p>
    <w:tbl>
      <w:tblPr>
        <w:tblW w:w="9000" w:type="dxa"/>
        <w:jc w:val="start"/>
        <w:tblInd w:w="18" w:type="dxa"/>
        <w:tblLayout w:type="fixed"/>
        <w:tblCellMar>
          <w:top w:w="0" w:type="dxa"/>
          <w:start w:w="108" w:type="dxa"/>
          <w:bottom w:w="0" w:type="dxa"/>
          <w:end w:w="108" w:type="dxa"/>
        </w:tblCellMar>
      </w:tblPr>
      <w:tblGrid>
        <w:gridCol w:w="2084"/>
        <w:gridCol w:w="1976"/>
        <w:gridCol w:w="4940"/>
      </w:tblGrid>
      <w:tr>
        <w:trPr/>
        <w:tc>
          <w:tcPr>
            <w:tcW w:w="2084" w:type="dxa"/>
            <w:tcBorders>
              <w:top w:val="single" w:sz="6" w:space="0" w:color="000000"/>
              <w:start w:val="single" w:sz="6" w:space="0" w:color="000000"/>
              <w:bottom w:val="single" w:sz="6" w:space="0" w:color="000000"/>
              <w:end w:val="single" w:sz="6" w:space="0" w:color="000000"/>
            </w:tcBorders>
          </w:tcPr>
          <w:p>
            <w:pPr>
              <w:pStyle w:val="Normal"/>
              <w:widowControl/>
              <w:rPr/>
            </w:pPr>
            <w:r>
              <w:rPr/>
              <w:t>June 27, 2001</w:t>
            </w:r>
          </w:p>
        </w:tc>
        <w:tc>
          <w:tcPr>
            <w:tcW w:w="1976" w:type="dxa"/>
            <w:tcBorders>
              <w:top w:val="single" w:sz="6" w:space="0" w:color="000000"/>
              <w:start w:val="single" w:sz="6" w:space="0" w:color="000000"/>
              <w:bottom w:val="single" w:sz="6" w:space="0" w:color="000000"/>
              <w:end w:val="single" w:sz="6" w:space="0" w:color="000000"/>
            </w:tcBorders>
          </w:tcPr>
          <w:p>
            <w:pPr>
              <w:pStyle w:val="Normal"/>
              <w:widowControl/>
              <w:rPr/>
            </w:pPr>
            <w:r>
              <w:rPr/>
              <w:t>ER01-2262-000</w:t>
            </w:r>
          </w:p>
        </w:tc>
        <w:tc>
          <w:tcPr>
            <w:tcW w:w="4940" w:type="dxa"/>
            <w:tcBorders>
              <w:top w:val="single" w:sz="6" w:space="0" w:color="000000"/>
              <w:start w:val="single" w:sz="6" w:space="0" w:color="000000"/>
              <w:bottom w:val="single" w:sz="6" w:space="0" w:color="000000"/>
              <w:end w:val="single" w:sz="6" w:space="0" w:color="000000"/>
            </w:tcBorders>
          </w:tcPr>
          <w:p>
            <w:pPr>
              <w:pStyle w:val="Normal"/>
              <w:rPr/>
            </w:pPr>
            <w:r>
              <w:rPr/>
              <w:t>Motion to Intervene of Pacific Gas and Electric Company in Frederickson Power, L.P.’s application for market-based rate authority.</w:t>
            </w:r>
          </w:p>
        </w:tc>
      </w:tr>
      <w:tr>
        <w:trPr/>
        <w:tc>
          <w:tcPr>
            <w:tcW w:w="2084" w:type="dxa"/>
            <w:tcBorders>
              <w:top w:val="single" w:sz="6" w:space="0" w:color="000000"/>
              <w:start w:val="single" w:sz="6" w:space="0" w:color="000000"/>
              <w:bottom w:val="single" w:sz="6" w:space="0" w:color="000000"/>
              <w:end w:val="single" w:sz="6" w:space="0" w:color="000000"/>
            </w:tcBorders>
          </w:tcPr>
          <w:p>
            <w:pPr>
              <w:pStyle w:val="Normal"/>
              <w:widowControl/>
              <w:rPr/>
            </w:pPr>
            <w:r>
              <w:rPr/>
              <w:t>June 27, 2001</w:t>
            </w:r>
          </w:p>
        </w:tc>
        <w:tc>
          <w:tcPr>
            <w:tcW w:w="1976" w:type="dxa"/>
            <w:tcBorders>
              <w:top w:val="single" w:sz="6" w:space="0" w:color="000000"/>
              <w:start w:val="single" w:sz="6" w:space="0" w:color="000000"/>
              <w:bottom w:val="single" w:sz="6" w:space="0" w:color="000000"/>
              <w:end w:val="single" w:sz="6" w:space="0" w:color="000000"/>
            </w:tcBorders>
          </w:tcPr>
          <w:p>
            <w:pPr>
              <w:pStyle w:val="Normal"/>
              <w:widowControl/>
              <w:rPr/>
            </w:pPr>
            <w:r>
              <w:rPr/>
              <w:t>ER01-2221-000</w:t>
            </w:r>
          </w:p>
        </w:tc>
        <w:tc>
          <w:tcPr>
            <w:tcW w:w="4940" w:type="dxa"/>
            <w:tcBorders>
              <w:top w:val="single" w:sz="6" w:space="0" w:color="000000"/>
              <w:start w:val="single" w:sz="6" w:space="0" w:color="000000"/>
              <w:bottom w:val="single" w:sz="6" w:space="0" w:color="000000"/>
              <w:end w:val="single" w:sz="6" w:space="0" w:color="000000"/>
            </w:tcBorders>
          </w:tcPr>
          <w:p>
            <w:pPr>
              <w:pStyle w:val="Normal"/>
              <w:rPr/>
            </w:pPr>
            <w:r>
              <w:rPr/>
              <w:t>Motion to Intervene Out of Time of Pacific Gas and Electric Company in ETHAN Power, LLC’s application for market-based rate authority.</w:t>
            </w:r>
          </w:p>
        </w:tc>
      </w:tr>
      <w:tr>
        <w:trPr/>
        <w:tc>
          <w:tcPr>
            <w:tcW w:w="2084"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July 5, 2001</w:t>
            </w:r>
          </w:p>
        </w:tc>
        <w:tc>
          <w:tcPr>
            <w:tcW w:w="1976" w:type="dxa"/>
            <w:tcBorders>
              <w:top w:val="single" w:sz="6" w:space="0" w:color="000000"/>
              <w:start w:val="single" w:sz="6" w:space="0" w:color="000000"/>
              <w:bottom w:val="single" w:sz="6" w:space="0" w:color="000000"/>
              <w:end w:val="single" w:sz="6" w:space="0" w:color="000000"/>
            </w:tcBorders>
          </w:tcPr>
          <w:p>
            <w:pPr>
              <w:pStyle w:val="Normal"/>
              <w:widowControl/>
              <w:rPr/>
            </w:pPr>
            <w:r>
              <w:rPr/>
              <w:t>ER01-2311-000</w:t>
            </w:r>
          </w:p>
        </w:tc>
        <w:tc>
          <w:tcPr>
            <w:tcW w:w="4940" w:type="dxa"/>
            <w:tcBorders>
              <w:top w:val="single" w:sz="6" w:space="0" w:color="000000"/>
              <w:start w:val="single" w:sz="6" w:space="0" w:color="000000"/>
              <w:bottom w:val="single" w:sz="6" w:space="0" w:color="000000"/>
              <w:end w:val="single" w:sz="6" w:space="0" w:color="000000"/>
            </w:tcBorders>
          </w:tcPr>
          <w:p>
            <w:pPr>
              <w:pStyle w:val="Normal"/>
              <w:rPr/>
            </w:pPr>
            <w:r>
              <w:rPr/>
              <w:t>Motion to Intervene of Pacific Gas and Electric Company in Nordic Energy, LLC’s application for market-based rate authority.</w:t>
            </w:r>
          </w:p>
        </w:tc>
      </w:tr>
      <w:tr>
        <w:trPr/>
        <w:tc>
          <w:tcPr>
            <w:tcW w:w="2084" w:type="dxa"/>
            <w:tcBorders>
              <w:top w:val="single" w:sz="6" w:space="0" w:color="000000"/>
              <w:start w:val="single" w:sz="6" w:space="0" w:color="000000"/>
              <w:bottom w:val="single" w:sz="6" w:space="0" w:color="000000"/>
              <w:end w:val="single" w:sz="6" w:space="0" w:color="000000"/>
            </w:tcBorders>
          </w:tcPr>
          <w:p>
            <w:pPr>
              <w:pStyle w:val="Normal"/>
              <w:widowControl/>
              <w:rPr/>
            </w:pPr>
            <w:r>
              <w:rPr/>
              <w:t>July 6, 2001</w:t>
            </w:r>
          </w:p>
        </w:tc>
        <w:tc>
          <w:tcPr>
            <w:tcW w:w="1976" w:type="dxa"/>
            <w:tcBorders>
              <w:top w:val="single" w:sz="6" w:space="0" w:color="000000"/>
              <w:start w:val="single" w:sz="6" w:space="0" w:color="000000"/>
              <w:bottom w:val="single" w:sz="6" w:space="0" w:color="000000"/>
              <w:end w:val="single" w:sz="6" w:space="0" w:color="000000"/>
            </w:tcBorders>
          </w:tcPr>
          <w:p>
            <w:pPr>
              <w:pStyle w:val="Normal"/>
              <w:widowControl/>
              <w:rPr/>
            </w:pPr>
            <w:r>
              <w:rPr/>
              <w:t>EL00-95-039; RT01-85-002; EL01-68-002</w:t>
            </w:r>
          </w:p>
        </w:tc>
        <w:tc>
          <w:tcPr>
            <w:tcW w:w="4940" w:type="dxa"/>
            <w:tcBorders>
              <w:top w:val="single" w:sz="6" w:space="0" w:color="000000"/>
              <w:start w:val="single" w:sz="6" w:space="0" w:color="000000"/>
              <w:bottom w:val="single" w:sz="6" w:space="0" w:color="000000"/>
              <w:end w:val="single" w:sz="6" w:space="0" w:color="000000"/>
            </w:tcBorders>
          </w:tcPr>
          <w:p>
            <w:pPr>
              <w:pStyle w:val="Normal"/>
              <w:rPr/>
            </w:pPr>
            <w:r>
              <w:rPr/>
              <w:t>Pacific Gas and Electric Company’s Motion for Leave to File Answer and Answer to Motion for Clarification and Request for Rehearing of the California Independent System Operator Corporation re creditworthiness issues.</w:t>
            </w:r>
          </w:p>
        </w:tc>
      </w:tr>
      <w:tr>
        <w:trPr/>
        <w:tc>
          <w:tcPr>
            <w:tcW w:w="2084" w:type="dxa"/>
            <w:tcBorders>
              <w:top w:val="single" w:sz="6" w:space="0" w:color="000000"/>
              <w:start w:val="single" w:sz="6" w:space="0" w:color="000000"/>
              <w:bottom w:val="single" w:sz="6" w:space="0" w:color="000000"/>
              <w:end w:val="single" w:sz="6" w:space="0" w:color="000000"/>
            </w:tcBorders>
          </w:tcPr>
          <w:p>
            <w:pPr>
              <w:pStyle w:val="Normal"/>
              <w:widowControl/>
              <w:rPr/>
            </w:pPr>
            <w:r>
              <w:rPr/>
              <w:t>July 6, 2001</w:t>
            </w:r>
          </w:p>
        </w:tc>
        <w:tc>
          <w:tcPr>
            <w:tcW w:w="1976" w:type="dxa"/>
            <w:tcBorders>
              <w:top w:val="single" w:sz="6" w:space="0" w:color="000000"/>
              <w:start w:val="single" w:sz="6" w:space="0" w:color="000000"/>
              <w:bottom w:val="single" w:sz="6" w:space="0" w:color="000000"/>
              <w:end w:val="single" w:sz="6" w:space="0" w:color="000000"/>
            </w:tcBorders>
          </w:tcPr>
          <w:p>
            <w:pPr>
              <w:pStyle w:val="Normal"/>
              <w:widowControl/>
              <w:rPr/>
            </w:pPr>
            <w:r>
              <w:rPr/>
              <w:t>ER00-565-000</w:t>
              <w:tab/>
            </w:r>
          </w:p>
        </w:tc>
        <w:tc>
          <w:tcPr>
            <w:tcW w:w="4940" w:type="dxa"/>
            <w:tcBorders>
              <w:top w:val="single" w:sz="6" w:space="0" w:color="000000"/>
              <w:start w:val="single" w:sz="6" w:space="0" w:color="000000"/>
              <w:bottom w:val="single" w:sz="6" w:space="0" w:color="000000"/>
              <w:end w:val="single" w:sz="6" w:space="0" w:color="000000"/>
            </w:tcBorders>
          </w:tcPr>
          <w:p>
            <w:pPr>
              <w:pStyle w:val="Normal"/>
              <w:rPr/>
            </w:pPr>
            <w:r>
              <w:rPr/>
              <w:t>Motion of Pacific Gas and Electric Company to Reject Requests for Rehearing of Order Denying Rehearing of the CA Municipal Utilities.</w:t>
            </w:r>
          </w:p>
        </w:tc>
      </w:tr>
      <w:tr>
        <w:trPr/>
        <w:tc>
          <w:tcPr>
            <w:tcW w:w="2084" w:type="dxa"/>
            <w:tcBorders>
              <w:top w:val="single" w:sz="6" w:space="0" w:color="000000"/>
              <w:start w:val="single" w:sz="6" w:space="0" w:color="000000"/>
              <w:bottom w:val="single" w:sz="6" w:space="0" w:color="000000"/>
              <w:end w:val="single" w:sz="6" w:space="0" w:color="000000"/>
            </w:tcBorders>
          </w:tcPr>
          <w:p>
            <w:pPr>
              <w:pStyle w:val="Normal"/>
              <w:widowControl/>
              <w:rPr/>
            </w:pPr>
            <w:r>
              <w:rPr/>
              <w:t>July 10, 2001</w:t>
            </w:r>
          </w:p>
        </w:tc>
        <w:tc>
          <w:tcPr>
            <w:tcW w:w="1976" w:type="dxa"/>
            <w:tcBorders>
              <w:top w:val="single" w:sz="6" w:space="0" w:color="000000"/>
              <w:start w:val="single" w:sz="6" w:space="0" w:color="000000"/>
              <w:bottom w:val="single" w:sz="6" w:space="0" w:color="000000"/>
              <w:end w:val="single" w:sz="6" w:space="0" w:color="000000"/>
            </w:tcBorders>
          </w:tcPr>
          <w:p>
            <w:pPr>
              <w:pStyle w:val="Normal"/>
              <w:widowControl/>
              <w:rPr/>
            </w:pPr>
            <w:r>
              <w:rPr/>
              <w:t>ER01-2353-000</w:t>
            </w:r>
          </w:p>
        </w:tc>
        <w:tc>
          <w:tcPr>
            <w:tcW w:w="4940" w:type="dxa"/>
            <w:tcBorders>
              <w:top w:val="single" w:sz="6" w:space="0" w:color="000000"/>
              <w:start w:val="single" w:sz="6" w:space="0" w:color="000000"/>
              <w:bottom w:val="single" w:sz="6" w:space="0" w:color="000000"/>
              <w:end w:val="single" w:sz="6" w:space="0" w:color="000000"/>
            </w:tcBorders>
          </w:tcPr>
          <w:p>
            <w:pPr>
              <w:pStyle w:val="Normal"/>
              <w:rPr/>
            </w:pPr>
            <w:r>
              <w:rPr/>
              <w:t>Motion to Intervene of Pacific Gas and Electric Company in Caithness Energy Marketing, LLC’s application for market-based rate authority.</w:t>
            </w:r>
          </w:p>
        </w:tc>
      </w:tr>
      <w:tr>
        <w:trPr/>
        <w:tc>
          <w:tcPr>
            <w:tcW w:w="2084" w:type="dxa"/>
            <w:tcBorders>
              <w:top w:val="single" w:sz="6" w:space="0" w:color="000000"/>
              <w:start w:val="single" w:sz="6" w:space="0" w:color="000000"/>
              <w:bottom w:val="single" w:sz="6" w:space="0" w:color="000000"/>
              <w:end w:val="single" w:sz="6" w:space="0" w:color="000000"/>
            </w:tcBorders>
          </w:tcPr>
          <w:p>
            <w:pPr>
              <w:pStyle w:val="Normal"/>
              <w:widowControl/>
              <w:rPr/>
            </w:pPr>
            <w:r>
              <w:rPr/>
              <w:t>July 10, 2001</w:t>
            </w:r>
          </w:p>
        </w:tc>
        <w:tc>
          <w:tcPr>
            <w:tcW w:w="1976" w:type="dxa"/>
            <w:tcBorders>
              <w:top w:val="single" w:sz="6" w:space="0" w:color="000000"/>
              <w:start w:val="single" w:sz="6" w:space="0" w:color="000000"/>
              <w:bottom w:val="single" w:sz="6" w:space="0" w:color="000000"/>
              <w:end w:val="single" w:sz="6" w:space="0" w:color="000000"/>
            </w:tcBorders>
          </w:tcPr>
          <w:p>
            <w:pPr>
              <w:pStyle w:val="Normal"/>
              <w:widowControl/>
              <w:rPr/>
            </w:pPr>
            <w:r>
              <w:rPr/>
              <w:t>EL01-89-000</w:t>
            </w:r>
          </w:p>
        </w:tc>
        <w:tc>
          <w:tcPr>
            <w:tcW w:w="4940" w:type="dxa"/>
            <w:tcBorders>
              <w:top w:val="single" w:sz="6" w:space="0" w:color="000000"/>
              <w:start w:val="single" w:sz="6" w:space="0" w:color="000000"/>
              <w:bottom w:val="single" w:sz="6" w:space="0" w:color="000000"/>
              <w:end w:val="single" w:sz="6" w:space="0" w:color="000000"/>
            </w:tcBorders>
          </w:tcPr>
          <w:p>
            <w:pPr>
              <w:pStyle w:val="Normal"/>
              <w:rPr/>
            </w:pPr>
            <w:r>
              <w:rPr/>
              <w:t>Motion to Intervene Out of Time of Pacific Gas and Electric Company in Morgan Stanley Capital Group’s complaint against the ISO re phantom congestion.</w:t>
            </w:r>
          </w:p>
        </w:tc>
      </w:tr>
      <w:tr>
        <w:trPr/>
        <w:tc>
          <w:tcPr>
            <w:tcW w:w="2084" w:type="dxa"/>
            <w:tcBorders>
              <w:top w:val="single" w:sz="6" w:space="0" w:color="000000"/>
              <w:start w:val="single" w:sz="6" w:space="0" w:color="000000"/>
              <w:bottom w:val="single" w:sz="6" w:space="0" w:color="000000"/>
              <w:end w:val="single" w:sz="6" w:space="0" w:color="000000"/>
            </w:tcBorders>
          </w:tcPr>
          <w:p>
            <w:pPr>
              <w:pStyle w:val="Normal"/>
              <w:widowControl/>
              <w:rPr/>
            </w:pPr>
            <w:r>
              <w:rPr/>
              <w:t>July 11, 2001</w:t>
            </w:r>
          </w:p>
        </w:tc>
        <w:tc>
          <w:tcPr>
            <w:tcW w:w="1976" w:type="dxa"/>
            <w:tcBorders>
              <w:top w:val="single" w:sz="6" w:space="0" w:color="000000"/>
              <w:start w:val="single" w:sz="6" w:space="0" w:color="000000"/>
              <w:bottom w:val="single" w:sz="6" w:space="0" w:color="000000"/>
              <w:end w:val="single" w:sz="6" w:space="0" w:color="000000"/>
            </w:tcBorders>
          </w:tcPr>
          <w:p>
            <w:pPr>
              <w:pStyle w:val="Normal"/>
              <w:widowControl/>
              <w:rPr/>
            </w:pPr>
            <w:r>
              <w:rPr/>
              <w:t>ER01-2390-000</w:t>
            </w:r>
          </w:p>
        </w:tc>
        <w:tc>
          <w:tcPr>
            <w:tcW w:w="4940" w:type="dxa"/>
            <w:tcBorders>
              <w:top w:val="single" w:sz="6" w:space="0" w:color="000000"/>
              <w:start w:val="single" w:sz="6" w:space="0" w:color="000000"/>
              <w:bottom w:val="single" w:sz="6" w:space="0" w:color="000000"/>
              <w:end w:val="single" w:sz="6" w:space="0" w:color="000000"/>
            </w:tcBorders>
          </w:tcPr>
          <w:p>
            <w:pPr>
              <w:pStyle w:val="Normal"/>
              <w:rPr/>
            </w:pPr>
            <w:r>
              <w:rPr/>
              <w:t>Motion to Intervene and Comments of Pacific Gas and Electric Company in Huntington Beach Development’s application for market-based rate authority.</w:t>
            </w:r>
          </w:p>
          <w:p>
            <w:pPr>
              <w:pStyle w:val="Normal"/>
              <w:rPr/>
            </w:pPr>
            <w:r>
              <w:rPr/>
              <w:t>Requests that the FERC reevaluate the “hub and spoke” analysis and impose stricter monitoring and reporting requirements.</w:t>
            </w:r>
          </w:p>
        </w:tc>
      </w:tr>
      <w:tr>
        <w:trPr/>
        <w:tc>
          <w:tcPr>
            <w:tcW w:w="2084" w:type="dxa"/>
            <w:tcBorders>
              <w:top w:val="single" w:sz="6" w:space="0" w:color="000000"/>
              <w:start w:val="single" w:sz="6" w:space="0" w:color="000000"/>
              <w:bottom w:val="single" w:sz="6" w:space="0" w:color="000000"/>
              <w:end w:val="single" w:sz="6" w:space="0" w:color="000000"/>
            </w:tcBorders>
          </w:tcPr>
          <w:p>
            <w:pPr>
              <w:pStyle w:val="Normal"/>
              <w:widowControl/>
              <w:rPr/>
            </w:pPr>
            <w:r>
              <w:rPr/>
              <w:t>July 12, 2001</w:t>
            </w:r>
          </w:p>
        </w:tc>
        <w:tc>
          <w:tcPr>
            <w:tcW w:w="1976" w:type="dxa"/>
            <w:tcBorders>
              <w:top w:val="single" w:sz="6" w:space="0" w:color="000000"/>
              <w:start w:val="single" w:sz="6" w:space="0" w:color="000000"/>
              <w:bottom w:val="single" w:sz="6" w:space="0" w:color="000000"/>
              <w:end w:val="single" w:sz="6" w:space="0" w:color="000000"/>
            </w:tcBorders>
          </w:tcPr>
          <w:p>
            <w:pPr>
              <w:pStyle w:val="Normal"/>
              <w:widowControl/>
              <w:rPr/>
            </w:pPr>
            <w:r>
              <w:rPr/>
              <w:t>0EL00-95-031; EL00-98-030; EL00-98-033; RT01-85-000; RT01-85-001; EL01-68-000; EL01-68-001</w:t>
            </w:r>
          </w:p>
        </w:tc>
        <w:tc>
          <w:tcPr>
            <w:tcW w:w="4940" w:type="dxa"/>
            <w:tcBorders>
              <w:top w:val="single" w:sz="6" w:space="0" w:color="000000"/>
              <w:start w:val="single" w:sz="6" w:space="0" w:color="000000"/>
              <w:bottom w:val="single" w:sz="6" w:space="0" w:color="000000"/>
              <w:end w:val="single" w:sz="6" w:space="0" w:color="000000"/>
            </w:tcBorders>
          </w:tcPr>
          <w:p>
            <w:pPr>
              <w:pStyle w:val="Normal"/>
              <w:rPr/>
            </w:pPr>
            <w:r>
              <w:rPr/>
              <w:t>Comments and Motion for Refunds of Pacific Gas and Electric Company.</w:t>
            </w:r>
          </w:p>
          <w:p>
            <w:pPr>
              <w:pStyle w:val="Normal"/>
              <w:rPr/>
            </w:pPr>
            <w:r>
              <w:rPr/>
              <w:t>Motion for refunds with interest and comments on refund proposal of the Chief Judge. PG&amp;E requests implementation of cost based rate refund methodology, or alternatively June 19 methodology using actual heat rates.</w:t>
            </w:r>
          </w:p>
        </w:tc>
      </w:tr>
      <w:tr>
        <w:trPr/>
        <w:tc>
          <w:tcPr>
            <w:tcW w:w="2084" w:type="dxa"/>
            <w:tcBorders>
              <w:top w:val="single" w:sz="6" w:space="0" w:color="000000"/>
              <w:start w:val="single" w:sz="6" w:space="0" w:color="000000"/>
              <w:bottom w:val="single" w:sz="6" w:space="0" w:color="000000"/>
              <w:end w:val="single" w:sz="6" w:space="0" w:color="000000"/>
            </w:tcBorders>
          </w:tcPr>
          <w:p>
            <w:pPr>
              <w:pStyle w:val="Normal"/>
              <w:widowControl/>
              <w:rPr/>
            </w:pPr>
            <w:r>
              <w:rPr/>
              <w:t>July 13, 2001</w:t>
            </w:r>
          </w:p>
        </w:tc>
        <w:tc>
          <w:tcPr>
            <w:tcW w:w="1976" w:type="dxa"/>
            <w:tcBorders>
              <w:top w:val="single" w:sz="6" w:space="0" w:color="000000"/>
              <w:start w:val="single" w:sz="6" w:space="0" w:color="000000"/>
              <w:bottom w:val="single" w:sz="6" w:space="0" w:color="000000"/>
              <w:end w:val="single" w:sz="6" w:space="0" w:color="000000"/>
            </w:tcBorders>
          </w:tcPr>
          <w:p>
            <w:pPr>
              <w:pStyle w:val="Normal"/>
              <w:widowControl/>
              <w:rPr/>
            </w:pPr>
            <w:r>
              <w:rPr/>
              <w:t>ER01-2405-000</w:t>
            </w:r>
          </w:p>
        </w:tc>
        <w:tc>
          <w:tcPr>
            <w:tcW w:w="4940" w:type="dxa"/>
            <w:tcBorders>
              <w:top w:val="single" w:sz="6" w:space="0" w:color="000000"/>
              <w:start w:val="single" w:sz="6" w:space="0" w:color="000000"/>
              <w:bottom w:val="single" w:sz="6" w:space="0" w:color="000000"/>
              <w:end w:val="single" w:sz="6" w:space="0" w:color="000000"/>
            </w:tcBorders>
          </w:tcPr>
          <w:p>
            <w:pPr>
              <w:pStyle w:val="Normal"/>
              <w:rPr/>
            </w:pPr>
            <w:r>
              <w:rPr/>
              <w:t>Motion to Intervene of Pacific Gas and Electric Company in GNA Energy, LLC’s application for market-based rate authority.</w:t>
            </w:r>
          </w:p>
        </w:tc>
      </w:tr>
    </w:tbl>
    <w:p>
      <w:pPr>
        <w:pStyle w:val="Normal"/>
        <w:rPr/>
      </w:pPr>
      <w:r>
        <w:br w:type="page"/>
      </w:r>
      <w:r>
        <w:rPr/>
      </w:r>
    </w:p>
    <w:tbl>
      <w:tblPr>
        <w:tblW w:w="9000" w:type="dxa"/>
        <w:jc w:val="start"/>
        <w:tblInd w:w="18" w:type="dxa"/>
        <w:tblLayout w:type="fixed"/>
        <w:tblCellMar>
          <w:top w:w="0" w:type="dxa"/>
          <w:start w:w="108" w:type="dxa"/>
          <w:bottom w:w="0" w:type="dxa"/>
          <w:end w:w="108" w:type="dxa"/>
        </w:tblCellMar>
      </w:tblPr>
      <w:tblGrid>
        <w:gridCol w:w="2084"/>
        <w:gridCol w:w="1966"/>
        <w:gridCol w:w="10"/>
        <w:gridCol w:w="4940"/>
      </w:tblGrid>
      <w:tr>
        <w:trPr/>
        <w:tc>
          <w:tcPr>
            <w:tcW w:w="2084" w:type="dxa"/>
            <w:tcBorders>
              <w:top w:val="single" w:sz="6" w:space="0" w:color="000000"/>
              <w:start w:val="single" w:sz="6" w:space="0" w:color="000000"/>
              <w:bottom w:val="single" w:sz="6" w:space="0" w:color="000000"/>
              <w:end w:val="single" w:sz="6" w:space="0" w:color="000000"/>
            </w:tcBorders>
          </w:tcPr>
          <w:p>
            <w:pPr>
              <w:pStyle w:val="Normal"/>
              <w:widowControl/>
              <w:rPr/>
            </w:pPr>
            <w:r>
              <w:rPr/>
              <w:t>July 13, 2001</w:t>
            </w:r>
          </w:p>
        </w:tc>
        <w:tc>
          <w:tcPr>
            <w:tcW w:w="1976" w:type="dxa"/>
            <w:gridSpan w:val="2"/>
            <w:tcBorders>
              <w:top w:val="single" w:sz="6" w:space="0" w:color="000000"/>
              <w:start w:val="single" w:sz="6" w:space="0" w:color="000000"/>
              <w:bottom w:val="single" w:sz="6" w:space="0" w:color="000000"/>
              <w:end w:val="single" w:sz="6" w:space="0" w:color="000000"/>
            </w:tcBorders>
          </w:tcPr>
          <w:p>
            <w:pPr>
              <w:pStyle w:val="Normal"/>
              <w:widowControl/>
              <w:rPr/>
            </w:pPr>
            <w:r>
              <w:rPr/>
              <w:t>ER01-2397-000</w:t>
            </w:r>
          </w:p>
        </w:tc>
        <w:tc>
          <w:tcPr>
            <w:tcW w:w="4940" w:type="dxa"/>
            <w:tcBorders>
              <w:top w:val="single" w:sz="6" w:space="0" w:color="000000"/>
              <w:start w:val="single" w:sz="6" w:space="0" w:color="000000"/>
              <w:bottom w:val="single" w:sz="6" w:space="0" w:color="000000"/>
              <w:end w:val="single" w:sz="6" w:space="0" w:color="000000"/>
            </w:tcBorders>
          </w:tcPr>
          <w:p>
            <w:pPr>
              <w:pStyle w:val="Normal"/>
              <w:rPr/>
            </w:pPr>
            <w:r>
              <w:rPr/>
              <w:t>Motion to Intervene of Pacific Gas and Electric Company in Electric City Energy Producers, LLC’s application for market-based rate authority.</w:t>
            </w:r>
          </w:p>
        </w:tc>
      </w:tr>
      <w:tr>
        <w:trPr/>
        <w:tc>
          <w:tcPr>
            <w:tcW w:w="2084" w:type="dxa"/>
            <w:tcBorders>
              <w:top w:val="single" w:sz="6" w:space="0" w:color="000000"/>
              <w:start w:val="single" w:sz="6" w:space="0" w:color="000000"/>
              <w:bottom w:val="single" w:sz="6" w:space="0" w:color="000000"/>
              <w:end w:val="single" w:sz="6" w:space="0" w:color="000000"/>
            </w:tcBorders>
          </w:tcPr>
          <w:p>
            <w:pPr>
              <w:pStyle w:val="Normal"/>
              <w:widowControl/>
              <w:rPr/>
            </w:pPr>
            <w:r>
              <w:rPr/>
              <w:t>July 13, 2001</w:t>
            </w:r>
          </w:p>
        </w:tc>
        <w:tc>
          <w:tcPr>
            <w:tcW w:w="1976" w:type="dxa"/>
            <w:gridSpan w:val="2"/>
            <w:tcBorders>
              <w:top w:val="single" w:sz="6" w:space="0" w:color="000000"/>
              <w:start w:val="single" w:sz="6" w:space="0" w:color="000000"/>
              <w:bottom w:val="single" w:sz="6" w:space="0" w:color="000000"/>
              <w:end w:val="single" w:sz="6" w:space="0" w:color="000000"/>
            </w:tcBorders>
          </w:tcPr>
          <w:p>
            <w:pPr>
              <w:pStyle w:val="Normal"/>
              <w:widowControl/>
              <w:rPr/>
            </w:pPr>
            <w:r>
              <w:rPr/>
              <w:t>ER01-2404-000</w:t>
            </w:r>
          </w:p>
        </w:tc>
        <w:tc>
          <w:tcPr>
            <w:tcW w:w="4940" w:type="dxa"/>
            <w:tcBorders>
              <w:top w:val="single" w:sz="6" w:space="0" w:color="000000"/>
              <w:start w:val="single" w:sz="6" w:space="0" w:color="000000"/>
              <w:bottom w:val="single" w:sz="6" w:space="0" w:color="000000"/>
              <w:end w:val="single" w:sz="6" w:space="0" w:color="000000"/>
            </w:tcBorders>
          </w:tcPr>
          <w:p>
            <w:pPr>
              <w:pStyle w:val="Normal"/>
              <w:rPr/>
            </w:pPr>
            <w:r>
              <w:rPr/>
              <w:t>Motion to Intervene of Pacific Gas and Electric Company in the Automated Power Exchange’s application to revise the APX California market Rate Schedule.</w:t>
            </w:r>
          </w:p>
        </w:tc>
      </w:tr>
      <w:tr>
        <w:trPr/>
        <w:tc>
          <w:tcPr>
            <w:tcW w:w="2084" w:type="dxa"/>
            <w:tcBorders>
              <w:top w:val="single" w:sz="6" w:space="0" w:color="000000"/>
              <w:start w:val="single" w:sz="6" w:space="0" w:color="000000"/>
              <w:bottom w:val="single" w:sz="6" w:space="0" w:color="000000"/>
              <w:end w:val="single" w:sz="6" w:space="0" w:color="000000"/>
            </w:tcBorders>
          </w:tcPr>
          <w:p>
            <w:pPr>
              <w:pStyle w:val="Normal"/>
              <w:widowControl/>
              <w:rPr/>
            </w:pPr>
            <w:r>
              <w:rPr/>
              <w:t>July 16, 2001</w:t>
            </w:r>
          </w:p>
        </w:tc>
        <w:tc>
          <w:tcPr>
            <w:tcW w:w="1966" w:type="dxa"/>
            <w:tcBorders>
              <w:top w:val="single" w:sz="6" w:space="0" w:color="000000"/>
              <w:start w:val="single" w:sz="6" w:space="0" w:color="000000"/>
              <w:bottom w:val="single" w:sz="6" w:space="0" w:color="000000"/>
              <w:end w:val="single" w:sz="6" w:space="0" w:color="000000"/>
            </w:tcBorders>
          </w:tcPr>
          <w:p>
            <w:pPr>
              <w:pStyle w:val="Normal"/>
              <w:widowControl/>
              <w:rPr/>
            </w:pPr>
            <w:r>
              <w:rPr/>
              <w:t>ER98-2680-002; ER98-2681-002; ER98-2682-002; ER99-1785-002</w:t>
            </w:r>
          </w:p>
        </w:tc>
        <w:tc>
          <w:tcPr>
            <w:tcW w:w="4950" w:type="dxa"/>
            <w:gridSpan w:val="2"/>
            <w:tcBorders>
              <w:top w:val="single" w:sz="6" w:space="0" w:color="000000"/>
              <w:start w:val="single" w:sz="6" w:space="0" w:color="000000"/>
              <w:bottom w:val="single" w:sz="6" w:space="0" w:color="000000"/>
              <w:end w:val="single" w:sz="6" w:space="0" w:color="000000"/>
            </w:tcBorders>
          </w:tcPr>
          <w:p>
            <w:pPr>
              <w:pStyle w:val="Normal"/>
              <w:rPr/>
            </w:pPr>
            <w:r>
              <w:rPr/>
              <w:t>Motion to Intervene and Protest of Pacific Gas and Electric Company and Southern California Edison Company.  Protests the triennial market power analysis submitted by the Duke Generators, urging FERC reevaluate the “hub and spoke” analysis and impose stricter monitoring and reportingrequirements</w:t>
            </w:r>
          </w:p>
        </w:tc>
      </w:tr>
    </w:tbl>
    <w:p>
      <w:pPr>
        <w:pStyle w:val="Normal"/>
        <w:widowControl/>
        <w:rPr/>
      </w:pPr>
      <w:r>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68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BodyText"/>
    <w:qFormat/>
    <w:pPr>
      <w:keepNext w:val="true"/>
      <w:keepLines/>
      <w:numPr>
        <w:ilvl w:val="0"/>
        <w:numId w:val="1"/>
      </w:numPr>
      <w:spacing w:lineRule="exact" w:line="240" w:before="240" w:after="0"/>
      <w:ind w:hanging="720" w:start="720" w:end="0"/>
      <w:outlineLvl w:val="0"/>
    </w:pPr>
    <w:rPr>
      <w:b/>
      <w:bCs/>
      <w:caps/>
    </w:rPr>
  </w:style>
  <w:style w:type="paragraph" w:styleId="Heading2">
    <w:name w:val="heading 2"/>
    <w:basedOn w:val="Heading1"/>
    <w:next w:val="BodyText"/>
    <w:qFormat/>
    <w:pPr>
      <w:keepNext w:val="false"/>
      <w:numPr>
        <w:ilvl w:val="1"/>
        <w:numId w:val="1"/>
      </w:numPr>
      <w:ind w:hanging="720" w:start="1440" w:end="1440"/>
      <w:outlineLvl w:val="1"/>
    </w:pPr>
    <w:rPr>
      <w:caps w:val="false"/>
      <w:smallCaps w:val="false"/>
    </w:rPr>
  </w:style>
  <w:style w:type="paragraph" w:styleId="Heading3">
    <w:name w:val="heading 3"/>
    <w:basedOn w:val="Heading2"/>
    <w:next w:val="BodyText"/>
    <w:qFormat/>
    <w:pPr>
      <w:keepNext w:val="true"/>
      <w:numPr>
        <w:ilvl w:val="2"/>
        <w:numId w:val="1"/>
      </w:numPr>
      <w:ind w:hanging="720" w:start="2160" w:end="1440"/>
      <w:outlineLvl w:val="2"/>
    </w:pPr>
    <w:rPr/>
  </w:style>
  <w:style w:type="paragraph" w:styleId="Heading4">
    <w:name w:val="heading 4"/>
    <w:basedOn w:val="Heading3"/>
    <w:next w:val="BodyText"/>
    <w:qFormat/>
    <w:pPr>
      <w:numPr>
        <w:ilvl w:val="3"/>
        <w:numId w:val="1"/>
      </w:numPr>
      <w:ind w:hanging="720" w:start="2880" w:end="1440"/>
      <w:outlineLvl w:val="3"/>
    </w:pPr>
    <w:rPr/>
  </w:style>
  <w:style w:type="paragraph" w:styleId="Heading5">
    <w:name w:val="heading 5"/>
    <w:basedOn w:val="Heading4"/>
    <w:next w:val="BodyText"/>
    <w:qFormat/>
    <w:pPr>
      <w:numPr>
        <w:ilvl w:val="4"/>
        <w:numId w:val="1"/>
      </w:numPr>
      <w:ind w:hanging="720" w:start="3600" w:end="1440"/>
      <w:outlineLvl w:val="4"/>
    </w:pPr>
    <w:rPr/>
  </w:style>
  <w:style w:type="paragraph" w:styleId="Heading6">
    <w:name w:val="heading 6"/>
    <w:basedOn w:val="Heading5"/>
    <w:next w:val="BodyText"/>
    <w:qFormat/>
    <w:pPr>
      <w:numPr>
        <w:ilvl w:val="5"/>
        <w:numId w:val="1"/>
      </w:numPr>
      <w:ind w:hanging="720" w:start="4320" w:end="1440"/>
      <w:outlineLvl w:val="5"/>
    </w:pPr>
    <w:rPr>
      <w:b w:val="false"/>
      <w:bCs w:val="false"/>
    </w:rPr>
  </w:style>
  <w:style w:type="paragraph" w:styleId="Heading7">
    <w:name w:val="heading 7"/>
    <w:basedOn w:val="Heading6"/>
    <w:next w:val="BodyText"/>
    <w:qFormat/>
    <w:pPr>
      <w:numPr>
        <w:ilvl w:val="6"/>
        <w:numId w:val="1"/>
      </w:numPr>
      <w:ind w:hanging="720" w:start="5040" w:end="1440"/>
      <w:outlineLvl w:val="6"/>
    </w:pPr>
    <w:rPr/>
  </w:style>
  <w:style w:type="paragraph" w:styleId="Heading8">
    <w:name w:val="heading 8"/>
    <w:basedOn w:val="Heading7"/>
    <w:next w:val="BodyText"/>
    <w:qFormat/>
    <w:pPr>
      <w:numPr>
        <w:ilvl w:val="7"/>
        <w:numId w:val="1"/>
      </w:numPr>
      <w:ind w:hanging="720" w:start="5760" w:end="1440"/>
      <w:outlineLvl w:val="7"/>
    </w:pPr>
    <w:rPr/>
  </w:style>
  <w:style w:type="paragraph" w:styleId="Heading9">
    <w:name w:val="heading 9"/>
    <w:basedOn w:val="Heading8"/>
    <w:next w:val="BodyText"/>
    <w:qFormat/>
    <w:pPr>
      <w:numPr>
        <w:ilvl w:val="8"/>
        <w:numId w:val="1"/>
      </w:numPr>
      <w:tabs>
        <w:tab w:val="clear" w:pos="720"/>
        <w:tab w:val="left" w:pos="360" w:leader="none"/>
      </w:tabs>
      <w:ind w:hanging="720" w:start="6480" w:end="1440"/>
      <w:outlineLvl w:val="8"/>
    </w:pPr>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acroText">
    <w:name w:val="Macro Text"/>
    <w:qFormat/>
    <w:pPr>
      <w:widowControl w:val="false"/>
      <w:tabs>
        <w:tab w:val="clear" w:pos="720"/>
        <w:tab w:val="left" w:pos="576" w:leader="none"/>
        <w:tab w:val="left" w:pos="965" w:leader="none"/>
        <w:tab w:val="left" w:pos="1440" w:leader="none"/>
        <w:tab w:val="left" w:pos="1915" w:leader="none"/>
        <w:tab w:val="left" w:pos="2405" w:leader="none"/>
        <w:tab w:val="left" w:pos="2880" w:leader="none"/>
        <w:tab w:val="left" w:pos="3355" w:leader="none"/>
        <w:tab w:val="left" w:pos="3845" w:leader="none"/>
        <w:tab w:val="left" w:pos="4320" w:leader="none"/>
      </w:tabs>
      <w:bidi w:val="0"/>
    </w:pPr>
    <w:rPr>
      <w:rFonts w:ascii="Times New Roman" w:hAnsi="Times New Roman" w:eastAsia="Times New Roman" w:cs="Times New Roman"/>
      <w:color w:val="auto"/>
      <w:sz w:val="20"/>
      <w:szCs w:val="20"/>
      <w:lang w:val="en-US" w:eastAsia="zh-CN" w:bidi="hi-IN"/>
    </w:rPr>
  </w:style>
  <w:style w:type="paragraph" w:styleId="BodyText2">
    <w:name w:val="Body Text 2"/>
    <w:basedOn w:val="Normal"/>
    <w:next w:val="BodyText"/>
    <w:qFormat/>
    <w:pPr>
      <w:ind w:hanging="0" w:start="360" w:end="0"/>
    </w:pPr>
    <w:rPr/>
  </w:style>
  <w:style w:type="paragraph" w:styleId="Centered">
    <w:name w:val="Centered"/>
    <w:basedOn w:val="Normal"/>
    <w:next w:val="BodyText"/>
    <w:qFormat/>
    <w:pPr>
      <w:spacing w:before="0" w:after="240"/>
      <w:jc w:val="center"/>
    </w:pPr>
    <w:rPr/>
  </w:style>
  <w:style w:type="paragraph" w:styleId="Disclaimer">
    <w:name w:val="Disclaimer"/>
    <w:basedOn w:val="Normal"/>
    <w:qFormat/>
    <w:pPr>
      <w:jc w:val="both"/>
    </w:pPr>
    <w:rPr>
      <w:rFonts w:ascii="Arial" w:hAnsi="Arial" w:eastAsia="Arial" w:cs="Arial"/>
      <w:sz w:val="16"/>
      <w:szCs w:val="1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FootnoteText">
    <w:name w:val="footnote text"/>
    <w:basedOn w:val="Normal"/>
    <w:pPr>
      <w:tabs>
        <w:tab w:val="clear" w:pos="720"/>
        <w:tab w:val="left" w:pos="432" w:leader="none"/>
      </w:tabs>
      <w:spacing w:before="0" w:after="120"/>
      <w:ind w:hanging="432" w:start="432" w:end="0"/>
    </w:pPr>
    <w:rPr/>
  </w:style>
  <w:style w:type="paragraph" w:styleId="Header">
    <w:name w:val="header"/>
    <w:basedOn w:val="Normal"/>
    <w:pPr>
      <w:tabs>
        <w:tab w:val="clear" w:pos="720"/>
        <w:tab w:val="center" w:pos="4680" w:leader="none"/>
        <w:tab w:val="right" w:pos="9360" w:leader="none"/>
      </w:tabs>
    </w:pPr>
    <w:rPr/>
  </w:style>
  <w:style w:type="paragraph" w:styleId="HeaderNumbers">
    <w:name w:val="HeaderNumbers"/>
    <w:basedOn w:val="Normal"/>
    <w:qFormat/>
    <w:pPr>
      <w:spacing w:lineRule="exact" w:line="480" w:before="720" w:after="0"/>
      <w:ind w:hanging="0" w:start="0" w:end="144"/>
      <w:jc w:val="end"/>
    </w:pPr>
    <w:rPr/>
  </w:style>
  <w:style w:type="paragraph" w:styleId="LetterClosing">
    <w:name w:val="LetterClosing"/>
    <w:basedOn w:val="Normal"/>
    <w:next w:val="Normal"/>
    <w:qFormat/>
    <w:pPr>
      <w:ind w:hanging="0" w:start="4680" w:end="-360"/>
    </w:pPr>
    <w:rPr/>
  </w:style>
  <w:style w:type="paragraph" w:styleId="NormalIndent">
    <w:name w:val="Normal Indent"/>
    <w:basedOn w:val="Normal"/>
    <w:qFormat/>
    <w:pPr>
      <w:ind w:hanging="0" w:start="720" w:end="720"/>
    </w:pPr>
    <w:rPr/>
  </w:style>
  <w:style w:type="paragraph" w:styleId="PleadingSignature">
    <w:name w:val="Pleading Signature"/>
    <w:basedOn w:val="Normal"/>
    <w:qFormat/>
    <w:pPr>
      <w:keepNext w:val="true"/>
      <w:keepLines/>
      <w:tabs>
        <w:tab w:val="clear" w:pos="720"/>
        <w:tab w:val="left" w:pos="4867" w:leader="none"/>
        <w:tab w:val="right" w:pos="9000" w:leader="none"/>
      </w:tabs>
      <w:spacing w:lineRule="exact" w:line="240"/>
      <w:ind w:hanging="4867" w:start="4867" w:end="0"/>
    </w:pPr>
    <w:rPr/>
  </w:style>
  <w:style w:type="paragraph" w:styleId="Quote-1inch">
    <w:name w:val="Quote - 1 inch"/>
    <w:basedOn w:val="Normal"/>
    <w:next w:val="Normal"/>
    <w:qFormat/>
    <w:pPr>
      <w:spacing w:before="240" w:after="0"/>
      <w:ind w:hanging="0" w:start="1440" w:end="1440"/>
    </w:pPr>
    <w:rPr/>
  </w:style>
  <w:style w:type="paragraph" w:styleId="Quote-5inch">
    <w:name w:val="Quote - .5 inch"/>
    <w:basedOn w:val="Normal"/>
    <w:next w:val="Normal"/>
    <w:qFormat/>
    <w:pPr>
      <w:spacing w:before="240" w:after="0"/>
      <w:ind w:hanging="0" w:start="720" w:end="720"/>
    </w:pPr>
    <w:rPr/>
  </w:style>
  <w:style w:type="paragraph" w:styleId="TableofAuthorities">
    <w:name w:val="Table of Authorities"/>
    <w:basedOn w:val="Normal"/>
    <w:next w:val="Normal"/>
    <w:qFormat/>
    <w:pPr>
      <w:tabs>
        <w:tab w:val="clear" w:pos="720"/>
        <w:tab w:val="right" w:pos="9274" w:leader="dot"/>
      </w:tabs>
      <w:spacing w:before="120" w:after="120"/>
      <w:ind w:hanging="446" w:start="446" w:end="720"/>
    </w:pPr>
    <w:rPr/>
  </w:style>
  <w:style w:type="paragraph" w:styleId="TOAHeading">
    <w:name w:val="TOA Heading"/>
    <w:basedOn w:val="Normal"/>
    <w:next w:val="TableofAuthorities"/>
    <w:qFormat/>
    <w:pPr>
      <w:keepNext w:val="true"/>
      <w:spacing w:before="120" w:after="120"/>
    </w:pPr>
    <w:rPr>
      <w:b/>
      <w:bCs/>
      <w:smallCaps/>
    </w:rPr>
  </w:style>
  <w:style w:type="paragraph" w:styleId="TOC1">
    <w:name w:val="toc 1"/>
    <w:basedOn w:val="Normal"/>
    <w:pPr>
      <w:keepLines/>
      <w:tabs>
        <w:tab w:val="clear" w:pos="720"/>
        <w:tab w:val="right" w:pos="9360" w:leader="dot"/>
      </w:tabs>
      <w:spacing w:before="0" w:after="120"/>
      <w:ind w:hanging="806" w:start="806" w:end="1440"/>
    </w:pPr>
    <w:rPr>
      <w:caps/>
    </w:rPr>
  </w:style>
  <w:style w:type="paragraph" w:styleId="TOC2">
    <w:name w:val="toc 2"/>
    <w:basedOn w:val="Normal"/>
    <w:pPr>
      <w:tabs>
        <w:tab w:val="clear" w:pos="720"/>
        <w:tab w:val="right" w:pos="9360" w:leader="dot"/>
      </w:tabs>
      <w:spacing w:before="0" w:after="120"/>
      <w:ind w:hanging="634" w:start="1440" w:end="1440"/>
    </w:pPr>
    <w:rPr/>
  </w:style>
  <w:style w:type="paragraph" w:styleId="TOC3">
    <w:name w:val="toc 3"/>
    <w:basedOn w:val="Normal"/>
    <w:pPr>
      <w:keepLines/>
      <w:tabs>
        <w:tab w:val="clear" w:pos="720"/>
        <w:tab w:val="right" w:pos="9360" w:leader="dot"/>
      </w:tabs>
      <w:spacing w:before="0" w:after="120"/>
      <w:ind w:hanging="720" w:start="2160" w:end="1440"/>
    </w:pPr>
    <w:rPr/>
  </w:style>
  <w:style w:type="paragraph" w:styleId="TOC4">
    <w:name w:val="toc 4"/>
    <w:basedOn w:val="Normal"/>
    <w:pPr>
      <w:keepLines/>
      <w:tabs>
        <w:tab w:val="clear" w:pos="720"/>
        <w:tab w:val="right" w:pos="9360" w:leader="dot"/>
      </w:tabs>
      <w:spacing w:before="0" w:after="120"/>
      <w:ind w:hanging="720" w:start="2880" w:end="1440"/>
    </w:pPr>
    <w:rPr/>
  </w:style>
  <w:style w:type="paragraph" w:styleId="TOC5">
    <w:name w:val="toc 5"/>
    <w:basedOn w:val="Normal"/>
    <w:pPr>
      <w:keepLines/>
      <w:tabs>
        <w:tab w:val="clear" w:pos="720"/>
        <w:tab w:val="right" w:pos="9360" w:leader="dot"/>
      </w:tabs>
      <w:spacing w:before="0" w:after="120"/>
      <w:ind w:hanging="720" w:start="3600" w:end="1440"/>
    </w:pPr>
    <w:rPr/>
  </w:style>
  <w:style w:type="paragraph" w:styleId="TOC6">
    <w:name w:val="toc 6"/>
    <w:basedOn w:val="Normal"/>
    <w:pPr>
      <w:keepLines/>
      <w:tabs>
        <w:tab w:val="clear" w:pos="720"/>
        <w:tab w:val="right" w:pos="9360" w:leader="dot"/>
      </w:tabs>
      <w:spacing w:before="0" w:after="120"/>
      <w:ind w:hanging="720" w:start="4320" w:end="1440"/>
    </w:pPr>
    <w:rPr/>
  </w:style>
  <w:style w:type="paragraph" w:styleId="TOC7">
    <w:name w:val="toc 7"/>
    <w:basedOn w:val="Normal"/>
    <w:pPr>
      <w:keepLines/>
      <w:tabs>
        <w:tab w:val="clear" w:pos="720"/>
        <w:tab w:val="right" w:pos="9360" w:leader="dot"/>
      </w:tabs>
      <w:spacing w:before="0" w:after="120"/>
      <w:ind w:hanging="806" w:start="5126" w:end="1440"/>
    </w:pPr>
    <w:rPr/>
  </w:style>
  <w:style w:type="paragraph" w:styleId="TOC8">
    <w:name w:val="toc 8"/>
    <w:basedOn w:val="Normal"/>
    <w:pPr>
      <w:keepLines/>
      <w:tabs>
        <w:tab w:val="clear" w:pos="720"/>
        <w:tab w:val="right" w:pos="9360" w:leader="dot"/>
      </w:tabs>
      <w:spacing w:before="0" w:after="120"/>
      <w:ind w:hanging="634" w:start="5760" w:end="1440"/>
    </w:pPr>
    <w:rPr/>
  </w:style>
  <w:style w:type="paragraph" w:styleId="TOC9">
    <w:name w:val="toc 9"/>
    <w:basedOn w:val="Normal"/>
    <w:pPr>
      <w:keepLines/>
      <w:tabs>
        <w:tab w:val="clear" w:pos="720"/>
        <w:tab w:val="right" w:pos="9360" w:leader="dot"/>
      </w:tabs>
      <w:spacing w:before="0" w:after="120"/>
      <w:ind w:hanging="720" w:start="6480" w:end="144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2001-07-17T18:58:00Z</dcterms:created>
  <dc:creator>Pam Dawson</dc:creator>
  <dc:description/>
  <dc:language>en-CA</dc:language>
  <cp:lastModifiedBy>Pam Dawson</cp:lastModifiedBy>
  <cp:lastPrinted>2001-07-17T14:27:00Z</cp:lastPrinted>
  <dcterms:modified xsi:type="dcterms:W3CDTF">2001-07-17T18:58:00Z</dcterms:modified>
  <cp:revision>2</cp:revision>
  <dc:subject/>
  <dc:title>Jan</dc:title>
</cp:coreProperties>
</file>