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rFonts w:ascii="Times New Roman" w:hAnsi="Times New Roman" w:cs="Times New Roman"/>
          <w:b w:val="false"/>
        </w:rPr>
      </w:pPr>
      <w:r>
        <w:rPr>
          <w:rFonts w:cs="Times New Roman" w:ascii="Times New Roman" w:hAnsi="Times New Roman"/>
          <w:b w:val="false"/>
        </w:rPr>
        <w:t>CARROLL &amp; GROSS, L.L.P.</w:t>
      </w:r>
    </w:p>
    <w:p>
      <w:pPr>
        <w:pStyle w:val="Heading"/>
        <w:spacing w:before="0" w:after="0"/>
        <w:rPr>
          <w:rFonts w:ascii="Times New Roman" w:hAnsi="Times New Roman" w:cs="Times New Roman"/>
          <w:b w:val="false"/>
          <w:sz w:val="18"/>
        </w:rPr>
      </w:pPr>
      <w:r>
        <w:rPr>
          <w:rFonts w:cs="Times New Roman" w:ascii="Times New Roman" w:hAnsi="Times New Roman"/>
          <w:b w:val="false"/>
          <w:sz w:val="18"/>
        </w:rPr>
        <w:t>ATTORNEYS AT LAW</w:t>
      </w:r>
    </w:p>
    <w:p>
      <w:pPr>
        <w:pStyle w:val="Heading"/>
        <w:spacing w:before="0" w:after="0"/>
        <w:rPr>
          <w:rFonts w:ascii="Times New Roman" w:hAnsi="Times New Roman" w:cs="Times New Roman"/>
          <w:b w:val="false"/>
          <w:sz w:val="14"/>
        </w:rPr>
      </w:pPr>
      <w:r>
        <w:rPr>
          <w:rFonts w:cs="Times New Roman" w:ascii="Times New Roman" w:hAnsi="Times New Roman"/>
          <w:b w:val="false"/>
          <w:sz w:val="14"/>
        </w:rPr>
        <w:t>A REGISTERED LIMITED LIABILITY PARTNERSHIP</w:t>
      </w:r>
    </w:p>
    <w:p>
      <w:pPr>
        <w:pStyle w:val="Heading"/>
        <w:spacing w:before="0" w:after="0"/>
        <w:rPr>
          <w:rFonts w:ascii="Times New Roman" w:hAnsi="Times New Roman" w:cs="Times New Roman"/>
          <w:b w:val="false"/>
          <w:sz w:val="18"/>
        </w:rPr>
      </w:pPr>
      <w:r>
        <w:rPr>
          <w:rFonts w:cs="Times New Roman" w:ascii="Times New Roman" w:hAnsi="Times New Roman"/>
          <w:b w:val="false"/>
          <w:sz w:val="18"/>
        </w:rPr>
        <w:t>AUSTIN CENTRE, SUITE 310</w:t>
      </w:r>
    </w:p>
    <w:p>
      <w:pPr>
        <w:pStyle w:val="Heading"/>
        <w:spacing w:before="0" w:after="0"/>
        <w:rPr>
          <w:rFonts w:ascii="Times New Roman" w:hAnsi="Times New Roman" w:cs="Times New Roman"/>
          <w:b w:val="false"/>
          <w:sz w:val="18"/>
        </w:rPr>
      </w:pPr>
      <w:r>
        <w:rPr>
          <w:rFonts w:cs="Times New Roman" w:ascii="Times New Roman" w:hAnsi="Times New Roman"/>
          <w:b w:val="false"/>
          <w:sz w:val="18"/>
        </w:rPr>
        <w:t>701 BRAZOS</w:t>
      </w:r>
    </w:p>
    <w:p>
      <w:pPr>
        <w:pStyle w:val="Heading"/>
        <w:spacing w:before="0" w:after="0"/>
        <w:rPr>
          <w:rFonts w:ascii="Times New Roman" w:hAnsi="Times New Roman" w:cs="Times New Roman"/>
          <w:b w:val="false"/>
          <w:sz w:val="18"/>
        </w:rPr>
      </w:pPr>
      <w:r>
        <w:rPr>
          <w:rFonts w:cs="Times New Roman" w:ascii="Times New Roman" w:hAnsi="Times New Roman"/>
          <w:b w:val="false"/>
          <w:sz w:val="18"/>
        </w:rPr>
        <w:t>AUSTIN, TEXAS 78701</w:t>
      </w:r>
    </w:p>
    <w:p>
      <w:pPr>
        <w:pStyle w:val="Heading"/>
        <w:spacing w:before="0" w:after="0"/>
        <w:rPr>
          <w:rFonts w:ascii="Times New Roman" w:hAnsi="Times New Roman" w:cs="Times New Roman"/>
          <w:b w:val="false"/>
          <w:sz w:val="18"/>
        </w:rPr>
      </w:pPr>
      <w:r>
        <w:rPr>
          <w:rFonts w:cs="Times New Roman" w:ascii="Times New Roman" w:hAnsi="Times New Roman"/>
          <w:b w:val="false"/>
          <w:sz w:val="18"/>
        </w:rPr>
        <w:t>(512) 320-5951</w:t>
      </w:r>
    </w:p>
    <w:p>
      <w:pPr>
        <w:pStyle w:val="Heading"/>
        <w:spacing w:before="0" w:after="0"/>
        <w:rPr>
          <w:rFonts w:ascii="Times New Roman" w:hAnsi="Times New Roman" w:cs="Times New Roman"/>
          <w:b w:val="false"/>
          <w:sz w:val="18"/>
        </w:rPr>
      </w:pPr>
      <w:r>
        <w:rPr>
          <w:rFonts w:cs="Times New Roman" w:ascii="Times New Roman" w:hAnsi="Times New Roman"/>
          <w:b w:val="false"/>
          <w:sz w:val="18"/>
        </w:rPr>
        <w:t>FAX (512) 320-5920</w:t>
      </w:r>
    </w:p>
    <w:p>
      <w:pPr>
        <w:pStyle w:val="Heading"/>
        <w:spacing w:before="0" w:after="0"/>
        <w:rPr>
          <w:rFonts w:ascii="Times New Roman" w:hAnsi="Times New Roman" w:cs="Times New Roman"/>
          <w:b w:val="false"/>
          <w:sz w:val="16"/>
        </w:rPr>
      </w:pPr>
      <w:r>
        <w:rPr>
          <w:rFonts w:cs="Times New Roman" w:ascii="Times New Roman" w:hAnsi="Times New Roman"/>
          <w:b w:val="false"/>
          <w:sz w:val="16"/>
        </w:rPr>
        <w:t>WRITER’S DIRECT DIAL NUMBER IS (512) 320-5953</w:t>
      </w:r>
    </w:p>
    <w:p>
      <w:pPr>
        <w:pStyle w:val="Heading"/>
        <w:spacing w:before="0" w:after="0"/>
        <w:rPr>
          <w:rFonts w:ascii="Times New Roman" w:hAnsi="Times New Roman" w:cs="Times New Roman"/>
          <w:b w:val="false"/>
          <w:sz w:val="16"/>
        </w:rPr>
      </w:pPr>
      <w:hyperlink r:id="rId2">
        <w:r>
          <w:rPr>
            <w:rStyle w:val="Hyperlink"/>
            <w:rFonts w:cs="Times New Roman" w:ascii="Times New Roman" w:hAnsi="Times New Roman"/>
            <w:sz w:val="16"/>
          </w:rPr>
          <w:t>Mcarroll@texas.net</w:t>
        </w:r>
      </w:hyperlink>
    </w:p>
    <w:p>
      <w:pPr>
        <w:pStyle w:val="Heading"/>
        <w:spacing w:before="0" w:after="0"/>
        <w:rPr>
          <w:rFonts w:ascii="Times New Roman" w:hAnsi="Times New Roman" w:cs="Times New Roman"/>
          <w:b w:val="false"/>
          <w:sz w:val="16"/>
        </w:rPr>
      </w:pPr>
      <w:r>
        <w:rPr>
          <w:rFonts w:cs="Times New Roman" w:ascii="Times New Roman" w:hAnsi="Times New Roman"/>
          <w:b w:val="false"/>
          <w:sz w:val="16"/>
        </w:rPr>
      </w:r>
    </w:p>
    <w:p>
      <w:pPr>
        <w:pStyle w:val="Heading"/>
        <w:spacing w:before="0" w:after="0"/>
        <w:rPr>
          <w:rFonts w:ascii="Times New Roman" w:hAnsi="Times New Roman" w:cs="Times New Roman"/>
          <w:b w:val="false"/>
          <w:sz w:val="16"/>
        </w:rPr>
      </w:pPr>
      <w:r>
        <w:rPr>
          <w:rFonts w:cs="Times New Roman" w:ascii="Times New Roman" w:hAnsi="Times New Roman"/>
          <w:b w:val="false"/>
          <w:sz w:val="16"/>
        </w:rPr>
      </w:r>
    </w:p>
    <w:p>
      <w:pPr>
        <w:pStyle w:val="Heading"/>
        <w:spacing w:before="0" w:after="0"/>
        <w:rPr>
          <w:rFonts w:ascii="Times New Roman" w:hAnsi="Times New Roman" w:cs="Times New Roman"/>
          <w:sz w:val="28"/>
        </w:rPr>
      </w:pPr>
      <w:r>
        <w:rPr>
          <w:rFonts w:cs="Times New Roman" w:ascii="Times New Roman" w:hAnsi="Times New Roman"/>
          <w:sz w:val="28"/>
        </w:rPr>
        <w:t>M E M O R A N D U M</w:t>
      </w:r>
    </w:p>
    <w:p>
      <w:pPr>
        <w:pStyle w:val="Heading"/>
        <w:spacing w:before="0" w:after="0"/>
        <w:jc w:val="start"/>
        <w:rPr>
          <w:rFonts w:ascii="Times New Roman" w:hAnsi="Times New Roman" w:cs="Times New Roman"/>
          <w:b w:val="false"/>
          <w:sz w:val="18"/>
        </w:rPr>
      </w:pPr>
      <w:r>
        <w:rPr>
          <w:rFonts w:cs="Times New Roman" w:ascii="Times New Roman" w:hAnsi="Times New Roman"/>
          <w:b w:val="false"/>
          <w:sz w:val="18"/>
        </w:rPr>
      </w:r>
    </w:p>
    <w:p>
      <w:pPr>
        <w:pStyle w:val="Normal"/>
        <w:rPr>
          <w:rFonts w:ascii="Times New Roman" w:hAnsi="Times New Roman" w:cs="Times New Roman"/>
          <w:b/>
          <w:sz w:val="28"/>
        </w:rPr>
      </w:pPr>
      <w:r>
        <w:rPr>
          <w:rFonts w:cs="Times New Roman"/>
          <w:b/>
          <w:sz w:val="28"/>
        </w:rPr>
      </w:r>
      <w:bookmarkStart w:id="0" w:name="DirectLine"/>
      <w:bookmarkStart w:id="1" w:name="DirectLine"/>
      <w:bookmarkEnd w:id="1"/>
    </w:p>
    <w:p>
      <w:pPr>
        <w:pStyle w:val="Normal"/>
        <w:rPr>
          <w:sz w:val="24"/>
        </w:rPr>
      </w:pPr>
      <w:r>
        <w:rPr>
          <w:sz w:val="24"/>
        </w:rPr>
        <w:t>TO:</w:t>
        <w:tab/>
        <w:tab/>
        <w:t>Clients</w:t>
      </w:r>
    </w:p>
    <w:p>
      <w:pPr>
        <w:pStyle w:val="Heading2"/>
        <w:ind w:hanging="0" w:start="0"/>
        <w:rPr>
          <w:sz w:val="24"/>
        </w:rPr>
      </w:pPr>
      <w:r>
        <w:rPr>
          <w:sz w:val="24"/>
        </w:rPr>
      </w:r>
    </w:p>
    <w:p>
      <w:pPr>
        <w:pStyle w:val="Heading2"/>
        <w:ind w:hanging="0" w:start="0"/>
        <w:rPr/>
      </w:pPr>
      <w:r>
        <w:rPr/>
        <w:t>FROM:</w:t>
        <w:tab/>
        <w:t>Marianne Carroll</w:t>
      </w:r>
    </w:p>
    <w:p>
      <w:pPr>
        <w:pStyle w:val="Normal"/>
        <w:jc w:val="both"/>
        <w:rPr>
          <w:sz w:val="24"/>
        </w:rPr>
      </w:pPr>
      <w:r>
        <w:rPr>
          <w:sz w:val="24"/>
        </w:rPr>
      </w:r>
    </w:p>
    <w:p>
      <w:pPr>
        <w:pStyle w:val="Normal"/>
        <w:jc w:val="both"/>
        <w:rPr>
          <w:sz w:val="24"/>
        </w:rPr>
      </w:pPr>
      <w:r>
        <w:rPr>
          <w:sz w:val="24"/>
        </w:rPr>
        <w:t>RE:</w:t>
        <w:tab/>
        <w:tab/>
        <w:t>Reports to be Filed with the PUC by Generators in Texas</w:t>
      </w:r>
    </w:p>
    <w:p>
      <w:pPr>
        <w:pStyle w:val="Normal"/>
        <w:jc w:val="both"/>
        <w:rPr>
          <w:sz w:val="24"/>
        </w:rPr>
      </w:pPr>
      <w:r>
        <w:rPr>
          <w:sz w:val="24"/>
        </w:rPr>
      </w:r>
    </w:p>
    <w:p>
      <w:pPr>
        <w:pStyle w:val="Normal"/>
        <w:jc w:val="both"/>
        <w:rPr>
          <w:sz w:val="24"/>
        </w:rPr>
      </w:pPr>
      <w:r>
        <w:rPr>
          <w:sz w:val="24"/>
        </w:rPr>
        <w:t>DATE:</w:t>
        <w:tab/>
        <w:tab/>
        <w:t>August 14, 2000</w:t>
      </w:r>
    </w:p>
    <w:p>
      <w:pPr>
        <w:pStyle w:val="Normal"/>
        <w:pBdr>
          <w:bottom w:val="single" w:sz="12" w:space="1" w:color="000000"/>
        </w:pBdr>
        <w:jc w:val="both"/>
        <w:rPr>
          <w:sz w:val="24"/>
        </w:rPr>
      </w:pPr>
      <w:r>
        <w:rPr>
          <w:sz w:val="24"/>
        </w:rPr>
      </w:r>
    </w:p>
    <w:p>
      <w:pPr>
        <w:pStyle w:val="Normal"/>
        <w:jc w:val="both"/>
        <w:rPr>
          <w:sz w:val="24"/>
        </w:rPr>
      </w:pPr>
      <w:r>
        <w:rPr>
          <w:sz w:val="24"/>
        </w:rPr>
      </w:r>
    </w:p>
    <w:p>
      <w:pPr>
        <w:pStyle w:val="Normal"/>
        <w:jc w:val="both"/>
        <w:rPr>
          <w:sz w:val="24"/>
        </w:rPr>
      </w:pPr>
      <w:r>
        <w:rPr>
          <w:sz w:val="24"/>
        </w:rPr>
        <w:tab/>
        <w:t>The Public Utility Commission of Texas has adopted Substantive Rule 25.91, requiring every owner of generating facilities in the state to file an annual report.  The following sets out the rule’s requirements:</w:t>
      </w:r>
    </w:p>
    <w:p>
      <w:pPr>
        <w:pStyle w:val="Normal"/>
        <w:jc w:val="both"/>
        <w:rPr>
          <w:sz w:val="24"/>
        </w:rPr>
      </w:pPr>
      <w:r>
        <w:rPr>
          <w:sz w:val="24"/>
        </w:rPr>
      </w:r>
    </w:p>
    <w:p>
      <w:pPr>
        <w:pStyle w:val="Normal"/>
        <w:ind w:hanging="2880" w:start="2880" w:end="0"/>
        <w:jc w:val="both"/>
        <w:rPr/>
      </w:pPr>
      <w:r>
        <w:rPr>
          <w:b/>
          <w:sz w:val="24"/>
          <w:u w:val="single"/>
        </w:rPr>
        <w:t>Who must file the report:</w:t>
      </w:r>
      <w:r>
        <w:rPr>
          <w:sz w:val="24"/>
        </w:rPr>
        <w:tab/>
        <w:t>Each person, power generation company, municipally owned utility, electric cooperative and river authority that owns generating facilities and offers electricity for sale in this state</w:t>
      </w:r>
    </w:p>
    <w:p>
      <w:pPr>
        <w:pStyle w:val="Normal"/>
        <w:jc w:val="both"/>
        <w:rPr>
          <w:sz w:val="24"/>
        </w:rPr>
      </w:pPr>
      <w:r>
        <w:rPr>
          <w:sz w:val="24"/>
        </w:rPr>
      </w:r>
    </w:p>
    <w:p>
      <w:pPr>
        <w:pStyle w:val="Normal"/>
        <w:ind w:hanging="2880" w:start="2880" w:end="0"/>
        <w:jc w:val="both"/>
        <w:rPr/>
      </w:pPr>
      <w:r>
        <w:rPr>
          <w:b/>
          <w:sz w:val="24"/>
          <w:u w:val="single"/>
        </w:rPr>
        <w:t>Date for filing the report:</w:t>
      </w:r>
      <w:r>
        <w:rPr>
          <w:sz w:val="24"/>
        </w:rPr>
        <w:tab/>
        <w:t>By the last working day of February each year, for the immediately preceding calendar year</w:t>
      </w:r>
    </w:p>
    <w:p>
      <w:pPr>
        <w:pStyle w:val="Normal"/>
        <w:ind w:hanging="2880" w:start="2880" w:end="0"/>
        <w:jc w:val="both"/>
        <w:rPr>
          <w:b/>
          <w:sz w:val="24"/>
          <w:u w:val="single"/>
        </w:rPr>
      </w:pPr>
      <w:r>
        <w:rPr>
          <w:b/>
          <w:sz w:val="24"/>
          <w:u w:val="single"/>
        </w:rPr>
      </w:r>
    </w:p>
    <w:p>
      <w:pPr>
        <w:pStyle w:val="Normal"/>
        <w:ind w:hanging="2880" w:start="2880" w:end="0"/>
        <w:jc w:val="both"/>
        <w:rPr/>
      </w:pPr>
      <w:r>
        <w:rPr>
          <w:b/>
          <w:sz w:val="24"/>
          <w:u w:val="single"/>
        </w:rPr>
        <w:t>Form of report:</w:t>
      </w:r>
      <w:r>
        <w:rPr>
          <w:sz w:val="24"/>
        </w:rPr>
        <w:tab/>
        <w:t>The filing must be made on a PUC-approved form</w:t>
      </w:r>
    </w:p>
    <w:p>
      <w:pPr>
        <w:pStyle w:val="Normal"/>
        <w:ind w:hanging="2880" w:start="2880" w:end="0"/>
        <w:jc w:val="both"/>
        <w:rPr>
          <w:b/>
          <w:sz w:val="24"/>
          <w:u w:val="single"/>
        </w:rPr>
      </w:pPr>
      <w:r>
        <w:rPr>
          <w:b/>
          <w:sz w:val="24"/>
          <w:u w:val="single"/>
        </w:rPr>
      </w:r>
    </w:p>
    <w:p>
      <w:pPr>
        <w:pStyle w:val="Normal"/>
        <w:ind w:hanging="2880" w:start="2880" w:end="0"/>
        <w:jc w:val="both"/>
        <w:rPr/>
      </w:pPr>
      <w:r>
        <w:rPr>
          <w:b/>
          <w:sz w:val="24"/>
          <w:u w:val="single"/>
        </w:rPr>
        <w:t>Content of report:</w:t>
      </w:r>
      <w:r>
        <w:rPr>
          <w:sz w:val="24"/>
        </w:rPr>
        <w:tab/>
        <w:t xml:space="preserve">For each power region, and for that portion of a power region in Texas, a reporting party must provide, </w:t>
      </w:r>
      <w:r>
        <w:rPr>
          <w:sz w:val="24"/>
          <w:u w:val="single"/>
        </w:rPr>
        <w:t>on a company-wide basis</w:t>
      </w:r>
      <w:r>
        <w:rPr>
          <w:sz w:val="24"/>
        </w:rPr>
        <w:t>:</w:t>
      </w:r>
    </w:p>
    <w:p>
      <w:pPr>
        <w:pStyle w:val="Normal"/>
        <w:ind w:hanging="2880" w:start="2880" w:end="0"/>
        <w:jc w:val="both"/>
        <w:rPr>
          <w:b/>
          <w:sz w:val="24"/>
          <w:u w:val="single"/>
        </w:rPr>
      </w:pPr>
      <w:r>
        <w:rPr>
          <w:b/>
          <w:sz w:val="24"/>
          <w:u w:val="single"/>
        </w:rPr>
      </w:r>
    </w:p>
    <w:p>
      <w:pPr>
        <w:pStyle w:val="BodyTextIndent2"/>
        <w:ind w:hanging="720" w:start="3600" w:end="0"/>
        <w:rPr/>
      </w:pPr>
      <w:r>
        <w:rPr/>
        <w:t>1.</w:t>
        <w:tab/>
        <w:t>total capacity of generating facilities connected with a transmission or distribution system</w:t>
      </w:r>
    </w:p>
    <w:p>
      <w:pPr>
        <w:pStyle w:val="BodyTextIndent2"/>
        <w:ind w:hanging="720" w:start="3600" w:end="0"/>
        <w:rPr/>
      </w:pPr>
      <w:r>
        <w:rPr/>
        <w:t>2.</w:t>
        <w:tab/>
        <w:t>total capacity of generating facilities used to generate electricity for consumption by the person owing or controlling the facility</w:t>
      </w:r>
    </w:p>
    <w:p>
      <w:pPr>
        <w:pStyle w:val="Normal"/>
        <w:ind w:hanging="720" w:start="3600" w:end="0"/>
        <w:jc w:val="both"/>
        <w:rPr>
          <w:sz w:val="24"/>
        </w:rPr>
      </w:pPr>
      <w:r>
        <w:rPr>
          <w:sz w:val="24"/>
        </w:rPr>
        <w:t>3.</w:t>
        <w:tab/>
        <w:t>total capacity of generating facilities that will be connected with a transmission or distribution system and operating within 12 months</w:t>
      </w:r>
    </w:p>
    <w:p>
      <w:pPr>
        <w:pStyle w:val="Normal"/>
        <w:ind w:start="2880" w:end="0"/>
        <w:jc w:val="both"/>
        <w:rPr>
          <w:sz w:val="24"/>
        </w:rPr>
      </w:pPr>
      <w:r>
        <w:rPr>
          <w:sz w:val="24"/>
        </w:rPr>
        <w:t>4.</w:t>
        <w:tab/>
        <w:t>total affiliate installed generation capacity</w:t>
      </w:r>
    </w:p>
    <w:p>
      <w:pPr>
        <w:pStyle w:val="Normal"/>
        <w:ind w:start="2880" w:end="0"/>
        <w:jc w:val="both"/>
        <w:rPr>
          <w:sz w:val="24"/>
        </w:rPr>
      </w:pPr>
      <w:r>
        <w:rPr>
          <w:sz w:val="24"/>
        </w:rPr>
        <w:t>5.</w:t>
        <w:tab/>
        <w:t>total amount of capacity available for sale to others</w:t>
      </w:r>
    </w:p>
    <w:p>
      <w:pPr>
        <w:pStyle w:val="Normal"/>
        <w:ind w:start="2880" w:end="0"/>
        <w:jc w:val="both"/>
        <w:rPr>
          <w:sz w:val="24"/>
        </w:rPr>
      </w:pPr>
      <w:r>
        <w:rPr>
          <w:sz w:val="24"/>
        </w:rPr>
        <w:t>6.</w:t>
        <w:tab/>
        <w:t>total amount of capacity under contract to others</w:t>
      </w:r>
    </w:p>
    <w:p>
      <w:pPr>
        <w:pStyle w:val="Normal"/>
        <w:ind w:start="2880" w:end="0"/>
        <w:jc w:val="both"/>
        <w:rPr>
          <w:sz w:val="24"/>
        </w:rPr>
      </w:pPr>
      <w:r>
        <w:rPr>
          <w:sz w:val="24"/>
        </w:rPr>
        <w:t>7.</w:t>
        <w:tab/>
        <w:t>total amount of capacity dedicated to its own use</w:t>
      </w:r>
    </w:p>
    <w:p>
      <w:pPr>
        <w:pStyle w:val="Normal"/>
        <w:ind w:hanging="720" w:start="3600" w:end="0"/>
        <w:jc w:val="both"/>
        <w:rPr>
          <w:sz w:val="24"/>
        </w:rPr>
      </w:pPr>
      <w:r>
        <w:rPr>
          <w:sz w:val="24"/>
        </w:rPr>
        <w:t>8.</w:t>
        <w:tab/>
        <w:t>total amount of capacity that has been subject to auction as approved by the Commission</w:t>
      </w:r>
    </w:p>
    <w:p>
      <w:pPr>
        <w:pStyle w:val="Normal"/>
        <w:ind w:hanging="720" w:start="3600" w:end="0"/>
        <w:jc w:val="both"/>
        <w:rPr>
          <w:sz w:val="24"/>
        </w:rPr>
      </w:pPr>
      <w:r>
        <w:rPr>
          <w:sz w:val="24"/>
        </w:rPr>
        <w:t>9.</w:t>
        <w:tab/>
        <w:t>total amount of capacity that will be retired within 12 months</w:t>
      </w:r>
    </w:p>
    <w:p>
      <w:pPr>
        <w:pStyle w:val="Normal"/>
        <w:ind w:hanging="720" w:start="3600" w:end="0"/>
        <w:jc w:val="both"/>
        <w:rPr>
          <w:sz w:val="24"/>
        </w:rPr>
      </w:pPr>
      <w:r>
        <w:rPr>
          <w:sz w:val="24"/>
        </w:rPr>
        <w:t>10.</w:t>
        <w:tab/>
        <w:t>annual capacity sales to affiliated retail electric providers (REPs)</w:t>
      </w:r>
    </w:p>
    <w:p>
      <w:pPr>
        <w:pStyle w:val="Normal"/>
        <w:ind w:start="2880" w:end="0"/>
        <w:jc w:val="both"/>
        <w:rPr>
          <w:sz w:val="24"/>
        </w:rPr>
      </w:pPr>
      <w:r>
        <w:rPr>
          <w:sz w:val="24"/>
        </w:rPr>
        <w:t>10.</w:t>
        <w:tab/>
        <w:t>annual wholesale energy sales</w:t>
      </w:r>
    </w:p>
    <w:p>
      <w:pPr>
        <w:pStyle w:val="Normal"/>
        <w:ind w:start="2880" w:end="0"/>
        <w:jc w:val="both"/>
        <w:rPr>
          <w:sz w:val="24"/>
        </w:rPr>
      </w:pPr>
      <w:r>
        <w:rPr>
          <w:sz w:val="24"/>
        </w:rPr>
        <w:t>11.</w:t>
        <w:tab/>
        <w:t>annual retail energy sales</w:t>
      </w:r>
    </w:p>
    <w:p>
      <w:pPr>
        <w:pStyle w:val="Normal"/>
        <w:ind w:start="2880" w:end="0"/>
        <w:jc w:val="both"/>
        <w:rPr>
          <w:sz w:val="24"/>
        </w:rPr>
      </w:pPr>
      <w:r>
        <w:rPr>
          <w:sz w:val="24"/>
        </w:rPr>
        <w:t>12.</w:t>
        <w:tab/>
        <w:t>annual energy sales to affiliate REPs</w:t>
      </w:r>
    </w:p>
    <w:p>
      <w:pPr>
        <w:pStyle w:val="Normal"/>
        <w:ind w:hanging="720" w:start="3600" w:end="0"/>
        <w:jc w:val="both"/>
        <w:rPr>
          <w:sz w:val="24"/>
        </w:rPr>
      </w:pPr>
      <w:r>
        <w:rPr>
          <w:sz w:val="24"/>
        </w:rPr>
        <w:t>13.</w:t>
        <w:tab/>
        <w:t>the amount of transmission import capability that the company has reserved and is available to import electricity during the summer peak into the power region from generating facilities that are owned by the reporting party or its affiliate in another power region</w:t>
      </w:r>
    </w:p>
    <w:p>
      <w:pPr>
        <w:pStyle w:val="Normal"/>
        <w:ind w:start="2880" w:end="0"/>
        <w:jc w:val="both"/>
        <w:rPr>
          <w:sz w:val="24"/>
        </w:rPr>
      </w:pPr>
      <w:r>
        <w:rPr>
          <w:sz w:val="24"/>
        </w:rPr>
      </w:r>
    </w:p>
    <w:p>
      <w:pPr>
        <w:pStyle w:val="Normal"/>
        <w:ind w:start="2880" w:end="0"/>
        <w:jc w:val="both"/>
        <w:rPr/>
      </w:pPr>
      <w:r>
        <w:rPr>
          <w:sz w:val="24"/>
        </w:rPr>
        <w:t xml:space="preserve">For </w:t>
      </w:r>
      <w:r>
        <w:rPr>
          <w:sz w:val="24"/>
          <w:u w:val="single"/>
        </w:rPr>
        <w:t>each generating unit</w:t>
      </w:r>
      <w:r>
        <w:rPr>
          <w:sz w:val="24"/>
        </w:rPr>
        <w:t xml:space="preserve"> owned in whole or in part by a reporting party, the following information must be provided:</w:t>
      </w:r>
    </w:p>
    <w:p>
      <w:pPr>
        <w:pStyle w:val="Normal"/>
        <w:ind w:start="2880" w:end="0"/>
        <w:jc w:val="both"/>
        <w:rPr>
          <w:sz w:val="24"/>
        </w:rPr>
      </w:pPr>
      <w:r>
        <w:rPr>
          <w:sz w:val="24"/>
        </w:rPr>
      </w:r>
    </w:p>
    <w:p>
      <w:pPr>
        <w:pStyle w:val="Normal"/>
        <w:ind w:start="2880" w:end="0"/>
        <w:jc w:val="both"/>
        <w:rPr>
          <w:sz w:val="24"/>
        </w:rPr>
      </w:pPr>
      <w:r>
        <w:rPr>
          <w:sz w:val="24"/>
        </w:rPr>
        <w:t>1.</w:t>
        <w:tab/>
        <w:t>name</w:t>
      </w:r>
    </w:p>
    <w:p>
      <w:pPr>
        <w:pStyle w:val="Normal"/>
        <w:ind w:hanging="720" w:start="3600" w:end="0"/>
        <w:jc w:val="both"/>
        <w:rPr>
          <w:sz w:val="24"/>
        </w:rPr>
      </w:pPr>
      <w:r>
        <w:rPr>
          <w:sz w:val="24"/>
        </w:rPr>
        <w:t>2.</w:t>
        <w:tab/>
        <w:t>location by county, utility service area, power region, reliability council, and, if applicable, transmission zone</w:t>
      </w:r>
    </w:p>
    <w:p>
      <w:pPr>
        <w:pStyle w:val="Normal"/>
        <w:ind w:hanging="720" w:start="3600" w:end="0"/>
        <w:jc w:val="both"/>
        <w:rPr>
          <w:sz w:val="24"/>
        </w:rPr>
      </w:pPr>
      <w:r>
        <w:rPr>
          <w:sz w:val="24"/>
        </w:rPr>
        <w:t>3.</w:t>
        <w:tab/>
        <w:t xml:space="preserve">capacity rating (MW) </w:t>
      </w:r>
    </w:p>
    <w:p>
      <w:pPr>
        <w:pStyle w:val="Normal"/>
        <w:ind w:hanging="720" w:start="3600" w:end="0"/>
        <w:jc w:val="both"/>
        <w:rPr>
          <w:sz w:val="24"/>
        </w:rPr>
      </w:pPr>
      <w:r>
        <w:rPr>
          <w:sz w:val="24"/>
        </w:rPr>
        <w:t>4.</w:t>
        <w:tab/>
        <w:t>annual generation (MWH)</w:t>
      </w:r>
    </w:p>
    <w:p>
      <w:pPr>
        <w:pStyle w:val="Normal"/>
        <w:ind w:hanging="720" w:start="3600" w:end="0"/>
        <w:jc w:val="both"/>
        <w:rPr>
          <w:sz w:val="24"/>
        </w:rPr>
      </w:pPr>
      <w:r>
        <w:rPr>
          <w:sz w:val="24"/>
        </w:rPr>
        <w:t>5.</w:t>
        <w:tab/>
        <w:t>type of fuel or nonfuel energy resource</w:t>
      </w:r>
    </w:p>
    <w:p>
      <w:pPr>
        <w:pStyle w:val="Normal"/>
        <w:ind w:hanging="720" w:start="3600" w:end="0"/>
        <w:jc w:val="both"/>
        <w:rPr>
          <w:sz w:val="24"/>
        </w:rPr>
      </w:pPr>
      <w:r>
        <w:rPr>
          <w:sz w:val="24"/>
        </w:rPr>
        <w:t>6.</w:t>
        <w:tab/>
        <w:t>technology of natural gas generator</w:t>
      </w:r>
    </w:p>
    <w:p>
      <w:pPr>
        <w:pStyle w:val="Normal"/>
        <w:ind w:hanging="720" w:start="3600" w:end="0"/>
        <w:jc w:val="both"/>
        <w:rPr>
          <w:sz w:val="24"/>
        </w:rPr>
      </w:pPr>
      <w:r>
        <w:rPr>
          <w:sz w:val="24"/>
        </w:rPr>
        <w:t>7.</w:t>
        <w:tab/>
        <w:t>date of commercial operation</w:t>
      </w:r>
    </w:p>
    <w:p>
      <w:pPr>
        <w:pStyle w:val="Normal"/>
        <w:ind w:hanging="720" w:start="3600" w:end="0"/>
        <w:jc w:val="both"/>
        <w:rPr>
          <w:sz w:val="24"/>
        </w:rPr>
      </w:pPr>
      <w:r>
        <w:rPr>
          <w:sz w:val="24"/>
        </w:rPr>
      </w:r>
    </w:p>
    <w:p>
      <w:pPr>
        <w:pStyle w:val="Normal"/>
        <w:ind w:start="2880" w:end="0"/>
        <w:jc w:val="both"/>
        <w:rPr/>
      </w:pPr>
      <w:r>
        <w:rPr>
          <w:sz w:val="24"/>
        </w:rPr>
        <w:t xml:space="preserve">For generating units </w:t>
      </w:r>
      <w:r>
        <w:rPr>
          <w:sz w:val="24"/>
          <w:u w:val="single"/>
        </w:rPr>
        <w:t>co-owned</w:t>
      </w:r>
      <w:r>
        <w:rPr>
          <w:sz w:val="24"/>
        </w:rPr>
        <w:t xml:space="preserve"> by others, the reporting party must identify the other owners and their respective ownership percentages.  For generating units that a reporting party owns but does not control, the name and capacity rating of each must be provided, the controlling party identified, and an explanation given of the nature of the other party’s control.</w:t>
      </w:r>
    </w:p>
    <w:p>
      <w:pPr>
        <w:pStyle w:val="Normal"/>
        <w:ind w:start="2880" w:end="0"/>
        <w:jc w:val="both"/>
        <w:rPr>
          <w:sz w:val="24"/>
        </w:rPr>
      </w:pPr>
      <w:r>
        <w:rPr>
          <w:sz w:val="24"/>
        </w:rPr>
      </w:r>
    </w:p>
    <w:p>
      <w:pPr>
        <w:pStyle w:val="Normal"/>
        <w:ind w:start="2880" w:end="0"/>
        <w:jc w:val="both"/>
        <w:rPr/>
      </w:pPr>
      <w:r>
        <w:rPr>
          <w:sz w:val="24"/>
        </w:rPr>
        <w:t xml:space="preserve">For generating units </w:t>
      </w:r>
      <w:r>
        <w:rPr>
          <w:sz w:val="24"/>
          <w:u w:val="single"/>
        </w:rPr>
        <w:t>on the boundary between two power regions</w:t>
      </w:r>
      <w:r>
        <w:rPr>
          <w:sz w:val="24"/>
        </w:rPr>
        <w:t xml:space="preserve"> and capable of delivering power into each, the name and capacity rating of each such unit must be provided, as well as the total sales from each unit for the preceding year by power region.</w:t>
      </w:r>
    </w:p>
    <w:p>
      <w:pPr>
        <w:pStyle w:val="Normal"/>
        <w:ind w:start="2880" w:end="0"/>
        <w:jc w:val="both"/>
        <w:rPr>
          <w:sz w:val="24"/>
        </w:rPr>
      </w:pPr>
      <w:r>
        <w:rPr>
          <w:sz w:val="24"/>
        </w:rPr>
      </w:r>
    </w:p>
    <w:p>
      <w:pPr>
        <w:pStyle w:val="Normal"/>
        <w:ind w:start="2880" w:end="0"/>
        <w:jc w:val="both"/>
        <w:rPr>
          <w:sz w:val="24"/>
        </w:rPr>
      </w:pPr>
      <w:r>
        <w:rPr>
          <w:sz w:val="24"/>
        </w:rPr>
        <w:t>TXU Electric Company must identify the name and capacity rating of each “grandfathered” generating unit it owns in an ozone non-attainment area, as well as copies of any applications to the TNRCC for emission permits for the grandfathered units and a description of the progress it has made since its last report on achieving approval of each such TNRCC permit</w:t>
      </w:r>
    </w:p>
    <w:p>
      <w:pPr>
        <w:pStyle w:val="Normal"/>
        <w:jc w:val="both"/>
        <w:rPr>
          <w:sz w:val="24"/>
        </w:rPr>
      </w:pPr>
      <w:r>
        <w:rPr>
          <w:sz w:val="24"/>
        </w:rPr>
      </w:r>
    </w:p>
    <w:p>
      <w:pPr>
        <w:pStyle w:val="Normal"/>
        <w:jc w:val="both"/>
        <w:rPr>
          <w:b/>
          <w:sz w:val="24"/>
          <w:u w:val="single"/>
        </w:rPr>
      </w:pPr>
      <w:r>
        <w:rPr>
          <w:b/>
          <w:sz w:val="24"/>
          <w:u w:val="single"/>
        </w:rPr>
        <w:t>Definitions applicable to the reporting requirements:</w:t>
      </w:r>
    </w:p>
    <w:p>
      <w:pPr>
        <w:pStyle w:val="Normal"/>
        <w:jc w:val="both"/>
        <w:rPr>
          <w:b/>
          <w:sz w:val="24"/>
          <w:u w:val="single"/>
        </w:rPr>
      </w:pPr>
      <w:r>
        <w:rPr>
          <w:b/>
          <w:sz w:val="24"/>
          <w:u w:val="single"/>
        </w:rPr>
      </w:r>
    </w:p>
    <w:p>
      <w:pPr>
        <w:pStyle w:val="BodyTextIndent3"/>
        <w:rPr/>
      </w:pPr>
      <w:r>
        <w:rPr>
          <w:u w:val="single"/>
        </w:rPr>
        <w:t>Nameplate rating:</w:t>
      </w:r>
      <w:r>
        <w:rPr/>
        <w:tab/>
        <w:t>The full-load continuous rating of a generator under specified conditions as designated by the manufacturer</w:t>
      </w:r>
    </w:p>
    <w:p>
      <w:pPr>
        <w:pStyle w:val="Normal"/>
        <w:ind w:hanging="2160" w:start="2880" w:end="0"/>
        <w:jc w:val="both"/>
        <w:rPr>
          <w:sz w:val="24"/>
        </w:rPr>
      </w:pPr>
      <w:r>
        <w:rPr>
          <w:sz w:val="24"/>
        </w:rPr>
      </w:r>
    </w:p>
    <w:p>
      <w:pPr>
        <w:pStyle w:val="Normal"/>
        <w:ind w:hanging="2160" w:start="2880" w:end="0"/>
        <w:jc w:val="both"/>
        <w:rPr/>
      </w:pPr>
      <w:r>
        <w:rPr>
          <w:sz w:val="24"/>
          <w:u w:val="single"/>
        </w:rPr>
        <w:t>Summer net dependable capacity:</w:t>
      </w:r>
      <w:r>
        <w:rPr>
          <w:sz w:val="24"/>
        </w:rPr>
        <w:tab/>
        <w:t>The net capability of a generating unit in megawatts for daily planning and operational purposes during the summer peak season, as determined in accordance with the requirements of the reliability council or independent organization in which the unit operates</w:t>
      </w:r>
    </w:p>
    <w:p>
      <w:pPr>
        <w:pStyle w:val="Normal"/>
        <w:ind w:hanging="2160" w:start="2880" w:end="0"/>
        <w:jc w:val="both"/>
        <w:rPr>
          <w:sz w:val="24"/>
          <w:u w:val="single"/>
        </w:rPr>
      </w:pPr>
      <w:r>
        <w:rPr>
          <w:sz w:val="24"/>
          <w:u w:val="single"/>
        </w:rPr>
      </w:r>
    </w:p>
    <w:p>
      <w:pPr>
        <w:pStyle w:val="Normal"/>
        <w:ind w:start="720" w:end="0"/>
        <w:jc w:val="both"/>
        <w:rPr>
          <w:sz w:val="24"/>
        </w:rPr>
      </w:pPr>
      <w:r>
        <w:rPr>
          <w:sz w:val="24"/>
        </w:rPr>
        <w:t>Generating unit capacity must be reported at the summer net dependable capability rating, except as follows:</w:t>
        <w:tab/>
        <w:t>(1)</w:t>
        <w:tab/>
        <w:t>renewable resources that are not dispatchable must be reported at the actual capacity value during the most recent peak season, and the report must include data supporting the determination of the actual capacity value;</w:t>
      </w:r>
    </w:p>
    <w:p>
      <w:pPr>
        <w:pStyle w:val="Normal"/>
        <w:ind w:start="720" w:end="0"/>
        <w:jc w:val="both"/>
        <w:rPr>
          <w:sz w:val="24"/>
        </w:rPr>
      </w:pPr>
      <w:r>
        <w:rPr>
          <w:sz w:val="24"/>
        </w:rPr>
        <w:tab/>
        <w:tab/>
        <w:tab/>
        <w:tab/>
        <w:t>(2)</w:t>
        <w:tab/>
        <w:t>generating units that will be connected to a transmission or distribution system and operating within 12 months must be rated at the nameplate rating.</w:t>
      </w:r>
    </w:p>
    <w:p>
      <w:pPr>
        <w:pStyle w:val="Normal"/>
        <w:jc w:val="both"/>
        <w:rPr>
          <w:sz w:val="24"/>
        </w:rPr>
      </w:pPr>
      <w:r>
        <w:rPr>
          <w:sz w:val="24"/>
        </w:rPr>
      </w:r>
    </w:p>
    <w:p>
      <w:pPr>
        <w:pStyle w:val="Normal"/>
        <w:ind w:hanging="2880" w:start="2880" w:end="0"/>
        <w:jc w:val="both"/>
        <w:rPr/>
      </w:pPr>
      <w:r>
        <w:rPr>
          <w:b/>
          <w:sz w:val="24"/>
          <w:u w:val="single"/>
        </w:rPr>
        <w:t>Additional requirement:</w:t>
      </w:r>
      <w:r>
        <w:rPr>
          <w:sz w:val="24"/>
        </w:rPr>
        <w:tab/>
        <w:t>Upon written request by the person responsible for the Commission’s market oversight program, a reporting party must provide within 15 days:</w:t>
      </w:r>
    </w:p>
    <w:p>
      <w:pPr>
        <w:pStyle w:val="Normal"/>
        <w:ind w:hanging="2880" w:start="2880" w:end="0"/>
        <w:jc w:val="both"/>
        <w:rPr>
          <w:b/>
          <w:sz w:val="24"/>
          <w:u w:val="single"/>
        </w:rPr>
      </w:pPr>
      <w:r>
        <w:rPr>
          <w:b/>
          <w:sz w:val="24"/>
          <w:u w:val="single"/>
        </w:rPr>
      </w:r>
    </w:p>
    <w:p>
      <w:pPr>
        <w:pStyle w:val="Normal"/>
        <w:ind w:hanging="720" w:start="3600" w:end="0"/>
        <w:jc w:val="both"/>
        <w:rPr>
          <w:sz w:val="24"/>
        </w:rPr>
      </w:pPr>
      <w:r>
        <w:rPr>
          <w:sz w:val="24"/>
        </w:rPr>
        <w:t>1.</w:t>
        <w:tab/>
        <w:t>any information deemed necessary by that person to investigate a potential market power abuse as defined in PURA §39.157(a)</w:t>
      </w:r>
    </w:p>
    <w:p>
      <w:pPr>
        <w:pStyle w:val="Normal"/>
        <w:ind w:hanging="720" w:start="3600" w:end="0"/>
        <w:jc w:val="both"/>
        <w:rPr>
          <w:sz w:val="24"/>
        </w:rPr>
      </w:pPr>
      <w:r>
        <w:rPr>
          <w:sz w:val="24"/>
        </w:rPr>
      </w:r>
    </w:p>
    <w:p>
      <w:pPr>
        <w:pStyle w:val="Normal"/>
        <w:ind w:hanging="720" w:start="3600" w:end="0"/>
        <w:jc w:val="both"/>
        <w:rPr>
          <w:sz w:val="24"/>
        </w:rPr>
      </w:pPr>
      <w:r>
        <w:rPr>
          <w:sz w:val="24"/>
        </w:rPr>
        <w:t>2.</w:t>
        <w:tab/>
        <w:t>any information deemed necessary by the Commission to assess market power or the development of a competitive retail market in the state, pursuant to PURA §39.155(a)</w:t>
      </w:r>
    </w:p>
    <w:p>
      <w:pPr>
        <w:pStyle w:val="Normal"/>
        <w:jc w:val="both"/>
        <w:rPr>
          <w:sz w:val="24"/>
        </w:rPr>
      </w:pPr>
      <w:r>
        <w:rPr>
          <w:sz w:val="24"/>
        </w:rPr>
      </w:r>
    </w:p>
    <w:p>
      <w:pPr>
        <w:pStyle w:val="Normal"/>
        <w:ind w:hanging="2880" w:start="2880" w:end="0"/>
        <w:jc w:val="both"/>
        <w:rPr/>
      </w:pPr>
      <w:r>
        <w:rPr>
          <w:b/>
          <w:sz w:val="24"/>
          <w:u w:val="single"/>
        </w:rPr>
        <w:t>Confidentiality:</w:t>
      </w:r>
      <w:r>
        <w:rPr>
          <w:sz w:val="24"/>
        </w:rPr>
        <w:tab/>
        <w:t>A reporting party may designate any information that it considers to be confidential.  Such information will be treated in accordance with the standard protective order approved by the Commission and applicable to generating capacity reports.</w:t>
      </w:r>
    </w:p>
    <w:p>
      <w:pPr>
        <w:pStyle w:val="Normal"/>
        <w:ind w:hanging="2880" w:start="2880" w:end="0"/>
        <w:jc w:val="both"/>
        <w:rPr>
          <w:b/>
          <w:sz w:val="24"/>
          <w:u w:val="single"/>
        </w:rPr>
      </w:pPr>
      <w:r>
        <w:rPr>
          <w:b/>
          <w:sz w:val="24"/>
          <w:u w:val="single"/>
        </w:rPr>
      </w:r>
    </w:p>
    <w:p>
      <w:pPr>
        <w:pStyle w:val="Normal"/>
        <w:jc w:val="both"/>
        <w:rPr>
          <w:b/>
          <w:sz w:val="24"/>
          <w:u w:val="single"/>
        </w:rPr>
      </w:pPr>
      <w:r>
        <w:rPr>
          <w:b/>
          <w:sz w:val="24"/>
          <w:u w:val="single"/>
        </w:rPr>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both"/>
      <w:outlineLvl w:val="2"/>
    </w:pPr>
    <w:rPr>
      <w:sz w:val="24"/>
      <w:u w:val="single"/>
    </w:rPr>
  </w:style>
  <w:style w:type="paragraph" w:styleId="Heading4">
    <w:name w:val="heading 4"/>
    <w:basedOn w:val="Normal"/>
    <w:next w:val="Normal"/>
    <w:qFormat/>
    <w:pPr>
      <w:keepNext w:val="true"/>
      <w:numPr>
        <w:ilvl w:val="3"/>
        <w:numId w:val="1"/>
      </w:numPr>
      <w:jc w:val="center"/>
      <w:outlineLvl w:val="3"/>
    </w:pPr>
    <w:rPr>
      <w:b/>
      <w:sz w:val="28"/>
    </w:rPr>
  </w:style>
  <w:style w:type="paragraph" w:styleId="Heading5">
    <w:name w:val="heading 5"/>
    <w:basedOn w:val="Normal"/>
    <w:next w:val="Normal"/>
    <w:qFormat/>
    <w:pPr>
      <w:keepNext w:val="true"/>
      <w:numPr>
        <w:ilvl w:val="4"/>
        <w:numId w:val="1"/>
      </w:numPr>
      <w:ind w:firstLine="720" w:start="720" w:end="0"/>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single"/>
    </w:rPr>
  </w:style>
  <w:style w:type="character" w:styleId="WW8Num6z0">
    <w:name w:val="WW8Num6z0"/>
    <w:qFormat/>
    <w:rPr>
      <w:u w:val="none"/>
    </w:rPr>
  </w:style>
  <w:style w:type="character" w:styleId="WW8Num7z0">
    <w:name w:val="WW8Num7z0"/>
    <w:qFormat/>
    <w:rPr>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z w:val="24"/>
      <w:u w:val="single"/>
    </w:rPr>
  </w:style>
  <w:style w:type="paragraph" w:styleId="BodyTextIndent2">
    <w:name w:val="Body Text Indent 2"/>
    <w:basedOn w:val="Normal"/>
    <w:qFormat/>
    <w:pPr>
      <w:ind w:hanging="0" w:start="2880" w:end="0"/>
      <w:jc w:val="both"/>
    </w:pPr>
    <w:rPr>
      <w:sz w:val="24"/>
    </w:rPr>
  </w:style>
  <w:style w:type="paragraph" w:styleId="BodyTextIndent3">
    <w:name w:val="Body Text Indent 3"/>
    <w:basedOn w:val="Normal"/>
    <w:qFormat/>
    <w:pPr>
      <w:ind w:hanging="2160" w:start="288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carroll@texas.net"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2000-08-14T17:51:00Z</dcterms:created>
  <dc:creator>Marianne Carroll</dc:creator>
  <dc:description/>
  <dc:language>en-CA</dc:language>
  <cp:lastModifiedBy>Marianne Carroll</cp:lastModifiedBy>
  <cp:lastPrinted>2000-03-17T16:09:00Z</cp:lastPrinted>
  <dcterms:modified xsi:type="dcterms:W3CDTF">2000-08-14T17:51:00Z</dcterms:modified>
  <cp:revision>2</cp:revision>
  <dc:subject/>
  <dc:title>CARROLL, BURGER &amp; GROSS, L</dc:title>
</cp:coreProperties>
</file>