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TECO-Panda’s $2.2B Power Plant Financing</w:t>
      </w:r>
    </w:p>
    <w:p>
      <w:pPr>
        <w:pStyle w:val="Heading"/>
        <w:rPr/>
      </w:pPr>
      <w:r>
        <w:rPr/>
      </w:r>
    </w:p>
    <w:p>
      <w:pPr>
        <w:pStyle w:val="Heading"/>
        <w:rPr/>
      </w:pPr>
      <w:r>
        <w:rPr/>
      </w:r>
    </w:p>
    <w:p>
      <w:pPr>
        <w:pStyle w:val="Heading"/>
        <w:jc w:val="start"/>
        <w:rPr/>
      </w:pPr>
      <w:r>
        <w:rPr/>
        <w:t>Through tumultuous markets, TECO Power Services (TECO)  and Panda Energy (Panda) along with lead arrangers Citibank and Société Générale were able to successfully syndicate the two largest independent power projects in the nation.  Strong project fundamentals, a flexible distribution strategy and intense sponsor marketing overcame market conditions and paved the way for an oversubscribed syndication.  By Howard Moseson, Managing Director, Loan Syndications, Société Générale.</w:t>
      </w:r>
    </w:p>
    <w:p>
      <w:pPr>
        <w:pStyle w:val="Heading"/>
        <w:jc w:val="start"/>
        <w:rPr/>
      </w:pPr>
      <w:r>
        <w:rPr/>
      </w:r>
    </w:p>
    <w:p>
      <w:pPr>
        <w:pStyle w:val="Heading"/>
        <w:jc w:val="start"/>
        <w:rPr>
          <w:b w:val="false"/>
        </w:rPr>
      </w:pPr>
      <w:r>
        <w:rPr>
          <w:b w:val="false"/>
        </w:rPr>
        <w:t xml:space="preserve">The landmark $2.2 billion transaction, which included $1.7 billion in non-recourse debt and a $500 million equity bridge loan, covered construction costs for the Union Power Station (also known as El Dorado) and the Gila River Power Station (Gila River).  The two power stations together will generate in excess of 4,500 MW, with El Dorado selling power throughout the states of Arkansas, Louisiana, Mississippi and Texas and Gila River selling power throughout the states of Arizona, California, Nevada and New Mexico. </w:t>
      </w:r>
    </w:p>
    <w:p>
      <w:pPr>
        <w:pStyle w:val="Heading"/>
        <w:jc w:val="start"/>
        <w:rPr>
          <w:b w:val="false"/>
        </w:rPr>
      </w:pPr>
      <w:r>
        <w:rPr>
          <w:b w:val="false"/>
        </w:rPr>
      </w:r>
    </w:p>
    <w:p>
      <w:pPr>
        <w:pStyle w:val="Heading"/>
        <w:jc w:val="start"/>
        <w:rPr>
          <w:b w:val="false"/>
        </w:rPr>
      </w:pPr>
      <w:r>
        <w:rPr>
          <w:b w:val="false"/>
        </w:rPr>
        <w:t>By virtually any measure, the financing was an overwhelming success.  F</w:t>
      </w:r>
      <w:r>
        <w:rPr>
          <w:b w:val="false"/>
          <w:color w:val="000000"/>
        </w:rPr>
        <w:t>orty-four investors participated in the syndication, which was oversubscribed by $1.2 billion, including a 36 percent over-subscription on the $500 million equity bridge loan and a 62 percent over-subscription on the $1.7 billion non-recourse loan.</w:t>
      </w:r>
      <w:r>
        <w:rPr>
          <w:b w:val="false"/>
        </w:rPr>
        <w:t xml:space="preserve">  </w:t>
      </w:r>
      <w:r>
        <w:rPr>
          <w:b w:val="false"/>
          <w:color w:val="000000"/>
        </w:rPr>
        <w:t>This transaction was the most widely syndicated large-scale merchant plant financing this year and it obtained commitments from 70 percent of the banks invited at the arranger level, an unprecedented hit rate for deals in the power sector.</w:t>
      </w:r>
    </w:p>
    <w:p>
      <w:pPr>
        <w:pStyle w:val="Heading"/>
        <w:jc w:val="start"/>
        <w:rPr>
          <w:b w:val="false"/>
        </w:rPr>
      </w:pPr>
      <w:r>
        <w:rPr>
          <w:b w:val="false"/>
        </w:rPr>
      </w:r>
    </w:p>
    <w:p>
      <w:pPr>
        <w:pStyle w:val="Normal"/>
        <w:rPr>
          <w:color w:val="000000"/>
        </w:rPr>
      </w:pPr>
      <w:r>
        <w:rPr/>
        <w:t>Notwithstanding the ultimate outcome of the syndication, the execution of the financing proved to be exceptionally challenging due to extremely negative market conditions. T</w:t>
      </w:r>
      <w:r>
        <w:rPr>
          <w:color w:val="000000"/>
        </w:rPr>
        <w:t xml:space="preserve">he energy crisis in California had significantly reduced the overall bank market capacity for power transactions and one of the power stations, Gila River, planned to sell 15-20 percent of its output into California.  Additionally, a number of deals with blue-chip sponsors were experiencing difficulties in syndication which required significant restructuring and left banks with higher hold positions than anticipated. </w:t>
      </w:r>
      <w:r>
        <w:rPr/>
        <w:t>Finally, the virtual disappearance of the retail investor, coupled with what appeared to be a limitless demand for capital, created a buyers’ market where lenders had begun to ration out capital only to their best clients where future business opportunities were all but assured.</w:t>
      </w:r>
    </w:p>
    <w:p>
      <w:pPr>
        <w:pStyle w:val="Normal"/>
        <w:rPr>
          <w:color w:val="000000"/>
        </w:rPr>
      </w:pPr>
      <w:r>
        <w:rPr>
          <w:color w:val="000000"/>
        </w:rPr>
      </w:r>
    </w:p>
    <w:p>
      <w:pPr>
        <w:pStyle w:val="Normal"/>
        <w:rPr>
          <w:color w:val="000000"/>
        </w:rPr>
      </w:pPr>
      <w:r>
        <w:rPr>
          <w:color w:val="000000"/>
        </w:rPr>
        <w:t xml:space="preserve">To compensate for this market dislocation, Citibank and Société Générale as Joint Bookrunners, along with TECO and Panda, sought to create a financing with strong credit fundamentals and ample flexibility to deal with the vagaries of the market, reinforced by the sponsors’ clear articulation of their strategy. </w:t>
      </w:r>
    </w:p>
    <w:p>
      <w:pPr>
        <w:pStyle w:val="Normal"/>
        <w:rPr>
          <w:color w:val="000000"/>
        </w:rPr>
      </w:pPr>
      <w:r>
        <w:rPr>
          <w:color w:val="000000"/>
        </w:rPr>
      </w:r>
    </w:p>
    <w:p>
      <w:pPr>
        <w:pStyle w:val="Heading2"/>
        <w:ind w:hanging="0" w:start="0"/>
        <w:rPr>
          <w:rFonts w:ascii="Times New Roman" w:hAnsi="Times New Roman" w:cs="Times New Roman"/>
          <w:b/>
          <w:sz w:val="20"/>
          <w:lang w:val="en-US" w:eastAsia="en-US"/>
        </w:rPr>
      </w:pPr>
      <w:r>
        <w:rPr>
          <w:rFonts w:cs="Times New Roman" w:ascii="Times New Roman" w:hAnsi="Times New Roman"/>
          <w:b/>
          <w:sz w:val="20"/>
          <w:lang w:val="en-US" w:eastAsia="en-US"/>
        </w:rPr>
        <w:t>Deal Fundamentals: Strong Credit and “Clean” Financial Structure</w:t>
      </w:r>
    </w:p>
    <w:p>
      <w:pPr>
        <w:pStyle w:val="Normal"/>
        <w:rPr>
          <w:rFonts w:ascii="Times New Roman" w:hAnsi="Times New Roman" w:cs="Times New Roman"/>
          <w:b/>
          <w:sz w:val="20"/>
          <w:lang w:val="en-US" w:eastAsia="en-US"/>
        </w:rPr>
      </w:pPr>
      <w:r>
        <w:rPr>
          <w:rFonts w:cs="Times New Roman"/>
          <w:b/>
          <w:sz w:val="20"/>
          <w:lang w:val="en-US" w:eastAsia="en-US"/>
        </w:rPr>
      </w:r>
    </w:p>
    <w:p>
      <w:pPr>
        <w:pStyle w:val="Normal"/>
        <w:rPr/>
      </w:pPr>
      <w:r>
        <w:rPr/>
        <w:t>The projects were well-positioned generating stations, selling into two markets in need of additional capacity (SERC – Northern Entergy and WCSS – AZ, NV and CA).  Furthermore, the independent power market and fuel consultants confirmed the viability of the business plan and forecast the power stations to operate as base load units.   The two “power station” was comprised of four power blocks which each had the capability of operating independently of the others.  Hence, the TECO-Panda financing was effectively the financing of eight power projects with a combined capacity in excess of 4,500 MW operating in two unrelated markets.  The economies of scale improved the economics whereas the commonality of design simplified the review process.</w:t>
      </w:r>
    </w:p>
    <w:p>
      <w:pPr>
        <w:pStyle w:val="Normal"/>
        <w:rPr/>
      </w:pPr>
      <w:r>
        <w:rPr/>
      </w:r>
    </w:p>
    <w:p>
      <w:pPr>
        <w:pStyle w:val="Normal"/>
        <w:rPr/>
      </w:pPr>
      <w:r>
        <w:rPr/>
        <w:t xml:space="preserve">Given the difficulties a number of deals were having in the market, an important goal of all involved in the structuring of the financing was to acknowledge investors’ desires and to keep the transaction simple.  The sponsors appreciated that while the strong credit characteristics may have permitted more “aggressive” terms such as (i) greater provisions for additional indebtedness, (ii) looser distribution tests, (iii) longer tenor and/or (iv) more leverage, their primary concern was to ensure the transaction was a success for all parties involved.   This required that the sponsors strike a careful balance between investor and issuer interests when designing the credit structure.    </w:t>
      </w:r>
    </w:p>
    <w:p>
      <w:pPr>
        <w:pStyle w:val="Heading2"/>
        <w:ind w:hanging="0" w:start="0"/>
        <w:rPr>
          <w:rFonts w:ascii="Times New Roman" w:hAnsi="Times New Roman" w:cs="Times New Roman"/>
          <w:sz w:val="20"/>
          <w:u w:val="none"/>
          <w:lang w:val="en-US" w:eastAsia="en-US"/>
        </w:rPr>
      </w:pPr>
      <w:r>
        <w:rPr>
          <w:rFonts w:cs="Times New Roman" w:ascii="Times New Roman" w:hAnsi="Times New Roman"/>
          <w:sz w:val="20"/>
          <w:u w:val="none"/>
          <w:lang w:val="en-US" w:eastAsia="en-US"/>
        </w:rPr>
      </w:r>
    </w:p>
    <w:p>
      <w:pPr>
        <w:pStyle w:val="Heading2"/>
        <w:ind w:hanging="0" w:start="0"/>
        <w:rPr>
          <w:rFonts w:ascii="Times New Roman" w:hAnsi="Times New Roman" w:cs="Times New Roman"/>
          <w:sz w:val="20"/>
          <w:u w:val="none"/>
          <w:lang w:val="en-US" w:eastAsia="en-US"/>
        </w:rPr>
      </w:pPr>
      <w:r>
        <w:rPr>
          <w:rFonts w:cs="Times New Roman" w:ascii="Times New Roman" w:hAnsi="Times New Roman"/>
          <w:sz w:val="20"/>
          <w:u w:val="none"/>
          <w:lang w:val="en-US" w:eastAsia="en-US"/>
        </w:rPr>
        <w:t>The highlights of the structural and credit strengths of the financing are outlined below:</w:t>
      </w:r>
    </w:p>
    <w:p>
      <w:pPr>
        <w:pStyle w:val="Normal"/>
        <w:rPr>
          <w:rFonts w:ascii="Times New Roman" w:hAnsi="Times New Roman" w:cs="Times New Roman"/>
          <w:sz w:val="20"/>
          <w:u w:val="none"/>
          <w:lang w:val="en-US" w:eastAsia="en-US"/>
        </w:rPr>
      </w:pPr>
      <w:r>
        <w:rPr>
          <w:rFonts w:cs="Times New Roman"/>
          <w:sz w:val="20"/>
          <w:u w:val="none"/>
          <w:lang w:val="en-US" w:eastAsia="en-US"/>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u w:val="single"/>
              </w:rPr>
            </w:pPr>
            <w:r>
              <w:rPr>
                <w:u w:val="single"/>
              </w:rPr>
              <w:t>Credit Strengths</w:t>
            </w:r>
          </w:p>
        </w:tc>
        <w:tc>
          <w:tcPr>
            <w:tcW w:w="4428" w:type="dxa"/>
            <w:tcBorders/>
          </w:tcPr>
          <w:p>
            <w:pPr>
              <w:pStyle w:val="Normal"/>
              <w:rPr>
                <w:u w:val="single"/>
              </w:rPr>
            </w:pPr>
            <w:r>
              <w:rPr>
                <w:u w:val="single"/>
              </w:rPr>
              <w:t>Structural Strengths</w:t>
            </w:r>
          </w:p>
        </w:tc>
      </w:tr>
      <w:tr>
        <w:trPr/>
        <w:tc>
          <w:tcPr>
            <w:tcW w:w="4428" w:type="dxa"/>
            <w:tcBorders/>
          </w:tcPr>
          <w:p>
            <w:pPr>
              <w:pStyle w:val="Normal"/>
              <w:numPr>
                <w:ilvl w:val="0"/>
                <w:numId w:val="2"/>
              </w:numPr>
              <w:rPr/>
            </w:pPr>
            <w:r>
              <w:rPr/>
              <w:t>Attractive power markets</w:t>
            </w:r>
          </w:p>
        </w:tc>
        <w:tc>
          <w:tcPr>
            <w:tcW w:w="4428" w:type="dxa"/>
            <w:tcBorders/>
          </w:tcPr>
          <w:p>
            <w:pPr>
              <w:pStyle w:val="Normal"/>
              <w:numPr>
                <w:ilvl w:val="0"/>
                <w:numId w:val="2"/>
              </w:numPr>
              <w:rPr/>
            </w:pPr>
            <w:r>
              <w:rPr/>
              <w:t>Cross collateralization of Projects</w:t>
            </w:r>
          </w:p>
        </w:tc>
      </w:tr>
      <w:tr>
        <w:trPr/>
        <w:tc>
          <w:tcPr>
            <w:tcW w:w="4428" w:type="dxa"/>
            <w:tcBorders/>
          </w:tcPr>
          <w:p>
            <w:pPr>
              <w:pStyle w:val="Normal"/>
              <w:numPr>
                <w:ilvl w:val="0"/>
                <w:numId w:val="2"/>
              </w:numPr>
              <w:rPr/>
            </w:pPr>
            <w:r>
              <w:rPr/>
              <w:t>Strong cash flow coverage ratios with averages above 3.4x</w:t>
            </w:r>
          </w:p>
        </w:tc>
        <w:tc>
          <w:tcPr>
            <w:tcW w:w="4428" w:type="dxa"/>
            <w:tcBorders/>
          </w:tcPr>
          <w:p>
            <w:pPr>
              <w:pStyle w:val="Normal"/>
              <w:numPr>
                <w:ilvl w:val="0"/>
                <w:numId w:val="2"/>
              </w:numPr>
              <w:rPr/>
            </w:pPr>
            <w:r>
              <w:rPr/>
              <w:t>Withholding of cash distribution until investment grade rating obtained, with cash sweeps commencing after a grace period</w:t>
            </w:r>
          </w:p>
        </w:tc>
      </w:tr>
      <w:tr>
        <w:trPr/>
        <w:tc>
          <w:tcPr>
            <w:tcW w:w="4428" w:type="dxa"/>
            <w:tcBorders/>
          </w:tcPr>
          <w:p>
            <w:pPr>
              <w:pStyle w:val="Normal"/>
              <w:numPr>
                <w:ilvl w:val="0"/>
                <w:numId w:val="2"/>
              </w:numPr>
              <w:rPr/>
            </w:pPr>
            <w:r>
              <w:rPr/>
              <w:t>Strong EPC contract from NEPCO, a subsidiary of Enron</w:t>
            </w:r>
          </w:p>
        </w:tc>
        <w:tc>
          <w:tcPr>
            <w:tcW w:w="4428" w:type="dxa"/>
            <w:tcBorders/>
          </w:tcPr>
          <w:p>
            <w:pPr>
              <w:pStyle w:val="Normal"/>
              <w:numPr>
                <w:ilvl w:val="0"/>
                <w:numId w:val="2"/>
              </w:numPr>
              <w:rPr/>
            </w:pPr>
            <w:r>
              <w:rPr/>
              <w:t xml:space="preserve">Tenor of 5 years; shorter than most mini perms </w:t>
            </w:r>
          </w:p>
        </w:tc>
      </w:tr>
      <w:tr>
        <w:trPr/>
        <w:tc>
          <w:tcPr>
            <w:tcW w:w="4428" w:type="dxa"/>
            <w:tcBorders/>
          </w:tcPr>
          <w:p>
            <w:pPr>
              <w:pStyle w:val="Normal"/>
              <w:numPr>
                <w:ilvl w:val="0"/>
                <w:numId w:val="2"/>
              </w:numPr>
              <w:rPr/>
            </w:pPr>
            <w:r>
              <w:rPr/>
              <w:t>Low cost generation with a 30% efficiency advantage over average price setting plant</w:t>
            </w:r>
          </w:p>
        </w:tc>
        <w:tc>
          <w:tcPr>
            <w:tcW w:w="4428" w:type="dxa"/>
            <w:tcBorders/>
          </w:tcPr>
          <w:p>
            <w:pPr>
              <w:pStyle w:val="Normal"/>
              <w:numPr>
                <w:ilvl w:val="0"/>
                <w:numId w:val="2"/>
              </w:numPr>
              <w:rPr/>
            </w:pPr>
            <w:r>
              <w:rPr/>
              <w:t xml:space="preserve">Distribution test: 1.75x historical and projected </w:t>
            </w:r>
          </w:p>
        </w:tc>
      </w:tr>
      <w:tr>
        <w:trPr/>
        <w:tc>
          <w:tcPr>
            <w:tcW w:w="4428" w:type="dxa"/>
            <w:tcBorders/>
          </w:tcPr>
          <w:p>
            <w:pPr>
              <w:pStyle w:val="Normal"/>
              <w:numPr>
                <w:ilvl w:val="0"/>
                <w:numId w:val="2"/>
              </w:numPr>
              <w:rPr/>
            </w:pPr>
            <w:r>
              <w:rPr/>
              <w:t>Diverse sources of revenues from two markets supplied by multiple independent power blocks</w:t>
            </w:r>
          </w:p>
        </w:tc>
        <w:tc>
          <w:tcPr>
            <w:tcW w:w="4428" w:type="dxa"/>
            <w:tcBorders/>
          </w:tcPr>
          <w:p>
            <w:pPr>
              <w:pStyle w:val="Normal"/>
              <w:numPr>
                <w:ilvl w:val="0"/>
                <w:numId w:val="2"/>
              </w:numPr>
              <w:rPr/>
            </w:pPr>
            <w:r>
              <w:rPr/>
              <w:t>Prudent leverage at 59% (including project letters of credit)</w:t>
            </w:r>
          </w:p>
        </w:tc>
      </w:tr>
      <w:tr>
        <w:trPr/>
        <w:tc>
          <w:tcPr>
            <w:tcW w:w="4428" w:type="dxa"/>
            <w:tcBorders/>
          </w:tcPr>
          <w:p>
            <w:pPr>
              <w:pStyle w:val="Normal"/>
              <w:numPr>
                <w:ilvl w:val="0"/>
                <w:numId w:val="2"/>
              </w:numPr>
              <w:rPr/>
            </w:pPr>
            <w:r>
              <w:rPr/>
              <w:t xml:space="preserve">Experienced project parties </w:t>
            </w:r>
          </w:p>
        </w:tc>
        <w:tc>
          <w:tcPr>
            <w:tcW w:w="4428" w:type="dxa"/>
            <w:tcBorders/>
          </w:tcPr>
          <w:p>
            <w:pPr>
              <w:pStyle w:val="Normal"/>
              <w:numPr>
                <w:ilvl w:val="0"/>
                <w:numId w:val="2"/>
              </w:numPr>
              <w:rPr/>
            </w:pPr>
            <w:r>
              <w:rPr/>
              <w:t>Equity funding risk mitigated through staged contributions</w:t>
            </w:r>
          </w:p>
        </w:tc>
      </w:tr>
    </w:tbl>
    <w:p>
      <w:pPr>
        <w:pStyle w:val="Normal"/>
        <w:rPr/>
      </w:pPr>
      <w:r>
        <w:rPr/>
      </w:r>
    </w:p>
    <w:p>
      <w:pPr>
        <w:pStyle w:val="Normal"/>
        <w:rPr/>
      </w:pPr>
      <w:r>
        <w:rPr/>
      </w:r>
    </w:p>
    <w:p>
      <w:pPr>
        <w:pStyle w:val="Heading2"/>
        <w:ind w:hanging="0" w:start="0"/>
        <w:rPr>
          <w:rFonts w:ascii="Times New Roman" w:hAnsi="Times New Roman" w:cs="Times New Roman"/>
          <w:b/>
          <w:sz w:val="20"/>
          <w:lang w:val="en-US" w:eastAsia="en-US"/>
        </w:rPr>
      </w:pPr>
      <w:r>
        <w:rPr>
          <w:rFonts w:cs="Times New Roman" w:ascii="Times New Roman" w:hAnsi="Times New Roman"/>
          <w:b/>
          <w:sz w:val="20"/>
          <w:lang w:val="en-US" w:eastAsia="en-US"/>
        </w:rPr>
        <w:t>Flexible Distribution Strategy Incorporating Current Market Trends/Concerns</w:t>
      </w:r>
    </w:p>
    <w:p>
      <w:pPr>
        <w:pStyle w:val="Normal"/>
        <w:rPr>
          <w:rFonts w:ascii="Times New Roman" w:hAnsi="Times New Roman" w:cs="Times New Roman"/>
          <w:b/>
          <w:sz w:val="20"/>
          <w:lang w:val="en-US" w:eastAsia="en-US"/>
        </w:rPr>
      </w:pPr>
      <w:r>
        <w:rPr>
          <w:rFonts w:cs="Times New Roman"/>
          <w:b/>
          <w:sz w:val="20"/>
          <w:lang w:val="en-US" w:eastAsia="en-US"/>
        </w:rPr>
      </w:r>
    </w:p>
    <w:p>
      <w:pPr>
        <w:pStyle w:val="Normal"/>
        <w:rPr/>
      </w:pPr>
      <w:r>
        <w:rPr/>
        <w:t>The success of the syndication can be attributed in large part to the attitude taken by the sponsors throughout the distribution process.  Although the sponsors were eager to complete the financing in order to move on to subsequent financings, they had the foresight to allow the Joint Bookrunners to (i) perform a detailed market read prior to launching the deal, (ii) seek early validation of the deal structure through a “pre launch” to core relationship banks and (iii) modify the syndication process on a  real-time basis based upon lender feedback.  Unlike prior deals brought to market where the sponsor and lead arrangers dictated the terms to the market, investors in the TECO-Panda financing were made to feel as if they were contributing to the syndication process.  Hence, investors were more apt to talk favorably about the financing with other institutions, creating a positive “buzz” about the financing in the market.</w:t>
      </w:r>
    </w:p>
    <w:p>
      <w:pPr>
        <w:pStyle w:val="Normal"/>
        <w:rPr/>
      </w:pPr>
      <w:r>
        <w:rPr/>
      </w:r>
    </w:p>
    <w:p>
      <w:pPr>
        <w:pStyle w:val="Normal"/>
        <w:rPr/>
      </w:pPr>
      <w:r>
        <w:rPr/>
        <w:t>Prior to launching the deal, eight relationship banks were approached and asked to obtain “green light” approval for the financing. While all banks approved of the structure, initial concerns focused on the large final hold, expected underwriting profit and future business opportunities.  What had become apparent was that given the large volume of transactions slated for 2001, investors had begun to ration their capital on a very selective basis.  This situation was exacerbated by the fact that many lead banks had significantly higher hold levels than expected on early 2001 transactions.  Thus the real and perceived underwriting risk had increased significantly.</w:t>
      </w:r>
    </w:p>
    <w:p>
      <w:pPr>
        <w:pStyle w:val="Normal"/>
        <w:rPr/>
      </w:pPr>
      <w:r>
        <w:rPr/>
      </w:r>
    </w:p>
    <w:p>
      <w:pPr>
        <w:pStyle w:val="Normal"/>
        <w:rPr/>
      </w:pPr>
      <w:r>
        <w:rPr/>
        <w:t xml:space="preserve">To address these issues, the sponsors spent a significant amount of time one-on-one with lead banks selling both the merits of the financing as well as the potential future business opportunities available to investors who supported the financing.  Additionally, to ameliorate investor concerns about underwriting profit, the fees were divided into an arranging fee payable on commitment and a separate fee payable on the final hold amount.  These fees were calculated to compensate banks adequately for a perceived increase in underwriting risk during the year and locked in a component of underwriting profit based on commitment amount to avoid having arranging fees reduced through an interim allocation.  To further minimize the underwriting risk for prospective arrangers, the sponsors agreed to close the financing only after the Co-Arrangers were within $20 million of their final hold according to the syndication plan and the Senior Managing Agents (SMAs) were within $15 million of their final hold. At this point, the arranging banks could be assured that the structure and pricing had been validated by the market.  </w:t>
      </w:r>
    </w:p>
    <w:p>
      <w:pPr>
        <w:pStyle w:val="Normal"/>
        <w:rPr/>
      </w:pPr>
      <w:r>
        <w:rPr/>
      </w:r>
    </w:p>
    <w:p>
      <w:pPr>
        <w:pStyle w:val="Normal"/>
        <w:rPr/>
      </w:pPr>
      <w:r>
        <w:rPr/>
        <w:t>During the market read, a major shift in bank market sentiment was identified.  Specifically, banks which  had historically participated at the sub-underwriting or retail levels were saving their capital for deals where they could receive underwriting economics.  By identifying this shift in lender sentiment prior to launching the deal, the financing could be structured to appeal to the largest universe of investors and to obtain the maximum commitments from each investor.  As evidence of the change in market sentiment, commitments were received from approximately 70 percent of the banks invited at the arranger level.  Outlined below is the original syndication strategy hit rate for the non-recourse facility devised in January,  prior to the market dislocation, as compared to the ultimate syndication strategy hit rate achieved.</w:t>
      </w:r>
    </w:p>
    <w:p>
      <w:pPr>
        <w:pStyle w:val="Normal"/>
        <w:rPr/>
      </w:pPr>
      <w:r>
        <w:rPr/>
      </w:r>
    </w:p>
    <w:tbl>
      <w:tblPr>
        <w:tblW w:w="8855" w:type="dxa"/>
        <w:jc w:val="start"/>
        <w:tblInd w:w="0" w:type="dxa"/>
        <w:tblLayout w:type="fixed"/>
        <w:tblCellMar>
          <w:top w:w="0" w:type="dxa"/>
          <w:start w:w="108" w:type="dxa"/>
          <w:bottom w:w="0" w:type="dxa"/>
          <w:end w:w="108" w:type="dxa"/>
        </w:tblCellMar>
      </w:tblPr>
      <w:tblGrid>
        <w:gridCol w:w="1265"/>
        <w:gridCol w:w="1265"/>
        <w:gridCol w:w="1265"/>
        <w:gridCol w:w="1265"/>
        <w:gridCol w:w="1265"/>
        <w:gridCol w:w="1265"/>
        <w:gridCol w:w="1265"/>
      </w:tblGrid>
      <w:tr>
        <w:trPr/>
        <w:tc>
          <w:tcPr>
            <w:tcW w:w="1265"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3795" w:type="dxa"/>
            <w:gridSpan w:val="3"/>
            <w:tcBorders>
              <w:top w:val="single" w:sz="6" w:space="0" w:color="000000"/>
              <w:start w:val="single" w:sz="6" w:space="0" w:color="000000"/>
              <w:bottom w:val="single" w:sz="6" w:space="0" w:color="000000"/>
              <w:end w:val="single" w:sz="6" w:space="0" w:color="000000"/>
            </w:tcBorders>
          </w:tcPr>
          <w:p>
            <w:pPr>
              <w:pStyle w:val="Normal"/>
              <w:jc w:val="center"/>
              <w:rPr/>
            </w:pPr>
            <w:r>
              <w:rPr/>
              <w:t>Initial Syndication Strategy</w:t>
            </w:r>
          </w:p>
        </w:tc>
        <w:tc>
          <w:tcPr>
            <w:tcW w:w="3795" w:type="dxa"/>
            <w:gridSpan w:val="3"/>
            <w:tcBorders>
              <w:top w:val="single" w:sz="6" w:space="0" w:color="000000"/>
              <w:start w:val="single" w:sz="6" w:space="0" w:color="000000"/>
              <w:bottom w:val="single" w:sz="6" w:space="0" w:color="000000"/>
              <w:end w:val="single" w:sz="6" w:space="0" w:color="000000"/>
            </w:tcBorders>
          </w:tcPr>
          <w:p>
            <w:pPr>
              <w:pStyle w:val="Normal"/>
              <w:jc w:val="center"/>
              <w:rPr>
                <w:lang w:val="en-CA" w:eastAsia="en-CA"/>
              </w:rPr>
            </w:pPr>
            <w:r>
              <w:rPr/>
              <w:t>Ultimate Syndication Strategy</w:t>
            </w:r>
          </w:p>
        </w:tc>
      </w:tr>
      <w:tr>
        <w:trPr/>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Title</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Banks Invited</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Banks Committed</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Hit Rate</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Banks Invited</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Banks Committed</w:t>
            </w:r>
          </w:p>
        </w:tc>
        <w:tc>
          <w:tcPr>
            <w:tcW w:w="1265" w:type="dxa"/>
            <w:tcBorders>
              <w:top w:val="single" w:sz="6" w:space="0" w:color="000000"/>
              <w:start w:val="single" w:sz="6" w:space="0" w:color="000000"/>
              <w:bottom w:val="single" w:sz="6" w:space="0" w:color="000000"/>
              <w:end w:val="single" w:sz="6" w:space="0" w:color="000000"/>
            </w:tcBorders>
          </w:tcPr>
          <w:p>
            <w:pPr>
              <w:pStyle w:val="Normal"/>
              <w:rPr>
                <w:lang w:val="en-CA" w:eastAsia="en-CA"/>
              </w:rPr>
            </w:pPr>
            <w:r>
              <w:rPr/>
              <w:t>Hit Rate</w:t>
            </w:r>
          </w:p>
        </w:tc>
      </w:tr>
      <w:tr>
        <w:trPr/>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Lead Arrangers</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2</w:t>
            </w:r>
          </w:p>
        </w:tc>
        <w:tc>
          <w:tcPr>
            <w:tcW w:w="1265" w:type="dxa"/>
            <w:tcBorders>
              <w:top w:val="single" w:sz="6" w:space="0" w:color="000000"/>
              <w:start w:val="single" w:sz="6" w:space="0" w:color="000000"/>
              <w:bottom w:val="single" w:sz="6" w:space="0" w:color="000000"/>
              <w:end w:val="single" w:sz="6" w:space="0" w:color="000000"/>
            </w:tcBorders>
          </w:tcPr>
          <w:p>
            <w:pPr>
              <w:pStyle w:val="Normal"/>
              <w:rPr>
                <w:lang w:val="en-CA" w:eastAsia="en-CA"/>
              </w:rPr>
            </w:pPr>
            <w:r>
              <w:rPr/>
              <w:t>100%</w:t>
            </w:r>
          </w:p>
        </w:tc>
      </w:tr>
      <w:tr>
        <w:trPr/>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Co- Arrangers</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10</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21</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15</w:t>
            </w:r>
          </w:p>
        </w:tc>
        <w:tc>
          <w:tcPr>
            <w:tcW w:w="1265" w:type="dxa"/>
            <w:tcBorders>
              <w:top w:val="single" w:sz="6" w:space="0" w:color="000000"/>
              <w:start w:val="single" w:sz="6" w:space="0" w:color="000000"/>
              <w:bottom w:val="single" w:sz="6" w:space="0" w:color="000000"/>
              <w:end w:val="single" w:sz="6" w:space="0" w:color="000000"/>
            </w:tcBorders>
          </w:tcPr>
          <w:p>
            <w:pPr>
              <w:pStyle w:val="Normal"/>
              <w:rPr>
                <w:lang w:val="en-CA" w:eastAsia="en-CA"/>
              </w:rPr>
            </w:pPr>
            <w:r>
              <w:rPr/>
              <w:t>71%</w:t>
            </w:r>
          </w:p>
        </w:tc>
      </w:tr>
      <w:tr>
        <w:trPr/>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SMAs</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10</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56%</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10</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7</w:t>
            </w:r>
          </w:p>
        </w:tc>
        <w:tc>
          <w:tcPr>
            <w:tcW w:w="1265" w:type="dxa"/>
            <w:tcBorders>
              <w:top w:val="single" w:sz="6" w:space="0" w:color="000000"/>
              <w:start w:val="single" w:sz="6" w:space="0" w:color="000000"/>
              <w:bottom w:val="single" w:sz="6" w:space="0" w:color="000000"/>
              <w:end w:val="single" w:sz="6" w:space="0" w:color="000000"/>
            </w:tcBorders>
          </w:tcPr>
          <w:p>
            <w:pPr>
              <w:pStyle w:val="Normal"/>
              <w:rPr>
                <w:lang w:val="en-CA" w:eastAsia="en-CA"/>
              </w:rPr>
            </w:pPr>
            <w:r>
              <w:rPr/>
              <w:t>70%</w:t>
            </w:r>
          </w:p>
        </w:tc>
      </w:tr>
      <w:tr>
        <w:trPr/>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General Syndication</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9</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50</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1265" w:type="dxa"/>
            <w:tcBorders>
              <w:top w:val="single" w:sz="6" w:space="0" w:color="000000"/>
              <w:start w:val="single" w:sz="6" w:space="0" w:color="000000"/>
              <w:bottom w:val="single" w:sz="6" w:space="0" w:color="000000"/>
              <w:end w:val="single" w:sz="6" w:space="0" w:color="000000"/>
            </w:tcBorders>
          </w:tcPr>
          <w:p>
            <w:pPr>
              <w:pStyle w:val="Normal"/>
              <w:rPr/>
            </w:pPr>
            <w:r>
              <w:rPr/>
              <w:t>24%</w:t>
            </w:r>
          </w:p>
        </w:tc>
      </w:tr>
    </w:tbl>
    <w:p>
      <w:pPr>
        <w:pStyle w:val="Normal"/>
        <w:rPr/>
      </w:pPr>
      <w:r>
        <w:rPr/>
      </w:r>
    </w:p>
    <w:p>
      <w:pPr>
        <w:pStyle w:val="Normal"/>
        <w:rPr/>
      </w:pPr>
      <w:r>
        <w:rPr/>
      </w:r>
    </w:p>
    <w:p>
      <w:pPr>
        <w:pStyle w:val="Normal"/>
        <w:rPr/>
      </w:pPr>
      <w:r>
        <w:rPr/>
        <w:t xml:space="preserve">Continuing to revise the syndication strategy up until the day of launch ensured that the financing was attuned to market sentiment. As indicated in the table above, the number of co-Arrangers approached and committing was significantly higher than originally expected, confirming the need for underwriting economics and validating the decision to invite more institutions at this level.  Additionally, with the virtual disappearance of the retail investor, a lower hit rate was achieved in general syndication, even though the number of banks approached had been significantly expanded from what was originally contemplated in January. </w:t>
      </w:r>
    </w:p>
    <w:p>
      <w:pPr>
        <w:pStyle w:val="Normal"/>
        <w:rPr/>
      </w:pPr>
      <w:r>
        <w:rPr/>
      </w:r>
    </w:p>
    <w:p>
      <w:pPr>
        <w:pStyle w:val="Normal"/>
        <w:rPr/>
      </w:pPr>
      <w:r>
        <w:rPr/>
        <w:t>Highlighted below are the changes which were made prior to the launch of the transaction:</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000000"/>
              <w:start w:val="single" w:sz="6" w:space="0" w:color="000000"/>
              <w:bottom w:val="single" w:sz="6" w:space="0" w:color="000000"/>
              <w:end w:val="single" w:sz="6" w:space="0" w:color="000000"/>
            </w:tcBorders>
          </w:tcPr>
          <w:p>
            <w:pPr>
              <w:pStyle w:val="Normal"/>
              <w:rPr/>
            </w:pPr>
            <w:r>
              <w:rPr/>
              <w:t>Original Syndication Strategy</w:t>
            </w:r>
          </w:p>
        </w:tc>
        <w:tc>
          <w:tcPr>
            <w:tcW w:w="4428" w:type="dxa"/>
            <w:tcBorders>
              <w:top w:val="single" w:sz="6" w:space="0" w:color="000000"/>
              <w:start w:val="single" w:sz="6" w:space="0" w:color="000000"/>
              <w:bottom w:val="single" w:sz="6" w:space="0" w:color="000000"/>
              <w:end w:val="single" w:sz="6" w:space="0" w:color="000000"/>
            </w:tcBorders>
          </w:tcPr>
          <w:p>
            <w:pPr>
              <w:pStyle w:val="Normal"/>
              <w:rPr>
                <w:lang w:val="en-CA" w:eastAsia="en-CA"/>
              </w:rPr>
            </w:pPr>
            <w:r>
              <w:rPr/>
              <w:t>Revisions to Strategy/Rationale</w:t>
            </w:r>
          </w:p>
        </w:tc>
      </w:tr>
      <w:tr>
        <w:trPr/>
        <w:tc>
          <w:tcPr>
            <w:tcW w:w="4428" w:type="dxa"/>
            <w:tcBorders>
              <w:top w:val="single" w:sz="6" w:space="0" w:color="000000"/>
              <w:start w:val="single" w:sz="6" w:space="0" w:color="000000"/>
              <w:bottom w:val="single" w:sz="6" w:space="0" w:color="000000"/>
              <w:end w:val="single" w:sz="6" w:space="0" w:color="000000"/>
            </w:tcBorders>
          </w:tcPr>
          <w:p>
            <w:pPr>
              <w:pStyle w:val="Normal"/>
              <w:snapToGrid w:val="false"/>
              <w:rPr>
                <w:lang w:val="en-CA" w:eastAsia="en-CA"/>
              </w:rPr>
            </w:pPr>
            <w:r>
              <w:rPr>
                <w:lang w:val="en-CA" w:eastAsia="en-CA"/>
              </w:rPr>
            </w:r>
          </w:p>
        </w:tc>
        <w:tc>
          <w:tcPr>
            <w:tcW w:w="4428" w:type="dxa"/>
            <w:tcBorders>
              <w:top w:val="single" w:sz="6" w:space="0" w:color="000000"/>
              <w:start w:val="single" w:sz="6" w:space="0" w:color="000000"/>
              <w:bottom w:val="single" w:sz="6" w:space="0" w:color="000000"/>
              <w:end w:val="single" w:sz="6" w:space="0" w:color="000000"/>
            </w:tcBorders>
          </w:tcPr>
          <w:p>
            <w:pPr>
              <w:pStyle w:val="Normal"/>
              <w:snapToGrid w:val="false"/>
              <w:rPr>
                <w:lang w:val="en-CA" w:eastAsia="en-CA"/>
              </w:rPr>
            </w:pPr>
            <w:r>
              <w:rPr>
                <w:lang w:val="en-CA" w:eastAsia="en-CA"/>
              </w:rPr>
            </w:r>
          </w:p>
        </w:tc>
      </w:tr>
      <w:tr>
        <w:trPr/>
        <w:tc>
          <w:tcPr>
            <w:tcW w:w="4428"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Have one-on-one meetings with potential Co-Arrangers.  Launch General Syndication once six Co-Arrangers commit. Allow additional Co-Arrangers to come in post launch.  Have bank meetings in NY and Frankfurt.</w:t>
            </w:r>
          </w:p>
        </w:tc>
        <w:tc>
          <w:tcPr>
            <w:tcW w:w="4428"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i/>
                <w:i/>
              </w:rPr>
            </w:pPr>
            <w:r>
              <w:rPr/>
              <w:t>Expand one-on-ones to potential SMAs as well.  Still required 6 Co-Arrangers prior to launch, but offered up Co-Arranger position to many more institutions.</w:t>
            </w:r>
          </w:p>
          <w:p>
            <w:pPr>
              <w:pStyle w:val="Normal"/>
              <w:rPr>
                <w:i/>
                <w:i/>
              </w:rPr>
            </w:pPr>
            <w:r>
              <w:rPr>
                <w:i/>
              </w:rPr>
            </w:r>
          </w:p>
          <w:p>
            <w:pPr>
              <w:pStyle w:val="Normal"/>
              <w:ind w:start="360" w:end="0"/>
              <w:rPr>
                <w:i/>
                <w:i/>
                <w:lang w:val="en-CA" w:eastAsia="en-CA"/>
              </w:rPr>
            </w:pPr>
            <w:r>
              <w:rPr>
                <w:i/>
              </w:rPr>
              <w:t>Rationale: Market read identified (i) change in the perceived risk reward balance, (ii) banks’ need for underwriting economics given significant number of alternative investment opportunities and (iii) benefit of one-on-ones in helping to  sell “relationship” as the reason to support the financing.</w:t>
            </w:r>
          </w:p>
        </w:tc>
      </w:tr>
      <w:tr>
        <w:trPr/>
        <w:tc>
          <w:tcPr>
            <w:tcW w:w="4428"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Consider a Primary Syndication seeking SMAs before General Syndication</w:t>
            </w:r>
          </w:p>
        </w:tc>
        <w:tc>
          <w:tcPr>
            <w:tcW w:w="4428"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Eliminated Primary Syndication.  SMAs approached during General Syndication.</w:t>
            </w:r>
          </w:p>
          <w:p>
            <w:pPr>
              <w:pStyle w:val="Normal"/>
              <w:rPr/>
            </w:pPr>
            <w:r>
              <w:rPr/>
            </w:r>
          </w:p>
          <w:p>
            <w:pPr>
              <w:pStyle w:val="Normal"/>
              <w:ind w:start="360" w:end="0"/>
              <w:rPr>
                <w:i/>
                <w:i/>
                <w:lang w:val="en-CA" w:eastAsia="en-CA"/>
              </w:rPr>
            </w:pPr>
            <w:r>
              <w:rPr>
                <w:i/>
              </w:rPr>
              <w:t>Rationale: Get to market ahead of other deals to avoid (i) banks “filling up” on credit exposure for year and (ii) other deals coming to market and having a negative impact on the deal.  Also, allow more banks to consider underwriting position to enhance distribution flexibility.</w:t>
            </w:r>
          </w:p>
        </w:tc>
      </w:tr>
      <w:tr>
        <w:trPr/>
        <w:tc>
          <w:tcPr>
            <w:tcW w:w="4428"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Require pro-rata commitments to both the recourse and non-recourse facilities</w:t>
            </w:r>
          </w:p>
        </w:tc>
        <w:tc>
          <w:tcPr>
            <w:tcW w:w="4428"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Require only Co-Arrangers to commit to both tranches but pay all banks 1/8% incentive fee on recourse facility for committing to both facilities.</w:t>
            </w:r>
          </w:p>
          <w:p>
            <w:pPr>
              <w:pStyle w:val="Normal"/>
              <w:rPr/>
            </w:pPr>
            <w:r>
              <w:rPr/>
            </w:r>
          </w:p>
          <w:p>
            <w:pPr>
              <w:pStyle w:val="Normal"/>
              <w:ind w:start="360" w:end="0"/>
              <w:rPr>
                <w:i/>
                <w:i/>
                <w:lang w:val="en-CA" w:eastAsia="en-CA"/>
              </w:rPr>
            </w:pPr>
            <w:r>
              <w:rPr>
                <w:i/>
              </w:rPr>
              <w:t>Rationale: Increase investor interest in non-recourse deal by reducing total required committed capital and enticing pure PF banks that do not invest in corporate financings.  Also lean more heavily on relationship banks (especially investment banks) to fill out the recourse facility.</w:t>
            </w:r>
          </w:p>
        </w:tc>
      </w:tr>
      <w:tr>
        <w:trPr/>
        <w:tc>
          <w:tcPr>
            <w:tcW w:w="4428"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Pay Co-Arrangers and SMAs upfront fees of 150 bps and 120 bps, respectively, on interim allocation.</w:t>
            </w:r>
          </w:p>
        </w:tc>
        <w:tc>
          <w:tcPr>
            <w:tcW w:w="4428"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Pay Co-Arrangers and SMAs 40 bps arranging fee and 115 bps and 100 bps, respectively, on final hold. Set Libor margin at 162.5 bps after completion of market read.</w:t>
            </w:r>
          </w:p>
          <w:p>
            <w:pPr>
              <w:pStyle w:val="Normal"/>
              <w:rPr/>
            </w:pPr>
            <w:r>
              <w:rPr/>
            </w:r>
          </w:p>
          <w:p>
            <w:pPr>
              <w:pStyle w:val="Normal"/>
              <w:ind w:start="360" w:end="0"/>
              <w:rPr>
                <w:i/>
                <w:i/>
              </w:rPr>
            </w:pPr>
            <w:r>
              <w:rPr>
                <w:i/>
              </w:rPr>
              <w:t>Rationale: Eliminate uncertainly on arranging fee (i.e. what is interim hold, what will arrangers be paying to the market, etc.)  despite the aggregate fees remaining relatively unchanged by clearly defining fees upfront.  Libor margin set to compete with several recent deals that had been  flexed.</w:t>
            </w:r>
          </w:p>
        </w:tc>
      </w:tr>
    </w:tbl>
    <w:p>
      <w:pPr>
        <w:pStyle w:val="Normal"/>
        <w:rPr/>
      </w:pPr>
      <w:r>
        <w:rPr/>
      </w:r>
    </w:p>
    <w:p>
      <w:pPr>
        <w:pStyle w:val="Normal"/>
        <w:rPr/>
      </w:pPr>
      <w:r>
        <w:rPr/>
      </w:r>
    </w:p>
    <w:p>
      <w:pPr>
        <w:pStyle w:val="Heading3"/>
        <w:ind w:hanging="0" w:start="0"/>
        <w:rPr>
          <w:lang w:val="en-US" w:eastAsia="en-US"/>
        </w:rPr>
      </w:pPr>
      <w:r>
        <w:rPr>
          <w:lang w:val="en-US" w:eastAsia="en-US"/>
          <w:rPrChange w:id="0" w:author="Societe Generale" w:date="2001-08-28T11:43:00Z"/>
        </w:rPr>
        <w:t>Significant Sponsor Marketing Effort</w:t>
      </w:r>
    </w:p>
    <w:p>
      <w:pPr>
        <w:pStyle w:val="Normal"/>
        <w:rPr>
          <w:lang w:val="en-US" w:eastAsia="en-US"/>
        </w:rPr>
      </w:pPr>
      <w:r>
        <w:rPr>
          <w:lang w:val="en-US" w:eastAsia="en-US"/>
        </w:rPr>
      </w:r>
    </w:p>
    <w:p>
      <w:pPr>
        <w:pStyle w:val="Normal"/>
        <w:rPr/>
      </w:pPr>
      <w:r>
        <w:rPr/>
        <w:t xml:space="preserve">The sponsors recognized early in the process that the number of banks needed to achieve a successful syndication for such a large financing far outstripped their existing relationships.  To compensate for this shortcoming, they initiated a significant marketing program focused on solidifying their existing investor relationships, increasing the total number of relationship lenders and generally communicating their corporate stories to the market. To that end, the sponsors held one-on-one meetings in the United States, France and Germany with over 35 institutions, several of which were investment or “universal” banks. As confirmation of the new “pay-to-play” trend gaining acceptance in the market place, a number of these institutions ultimately came into the transaction.      </w:t>
      </w:r>
    </w:p>
    <w:p>
      <w:pPr>
        <w:pStyle w:val="Normal"/>
        <w:rPr/>
      </w:pPr>
      <w:r>
        <w:rPr/>
      </w:r>
    </w:p>
    <w:p>
      <w:pPr>
        <w:pStyle w:val="Normal"/>
        <w:rPr/>
      </w:pPr>
      <w:r>
        <w:rPr/>
        <w:t xml:space="preserve">The sponsors’ marketing efforts were successful in large part because they were able to show an excellent pipeline of future business opportunities available to these investors. TECO’s parent, TECO Energy, highlighted both the significant amount of equity and quasi equity offerings planned over the next 18 months as well as TECO’s pipeline of future project financings.  Panda, on the other hand, sold investors on their significant need for debt financing on their projects under development. </w:t>
      </w:r>
    </w:p>
    <w:p>
      <w:pPr>
        <w:pStyle w:val="Normal"/>
        <w:rPr/>
      </w:pPr>
      <w:r>
        <w:rPr/>
      </w:r>
    </w:p>
    <w:p>
      <w:pPr>
        <w:pStyle w:val="Heading3"/>
        <w:ind w:hanging="0" w:start="0"/>
        <w:rPr>
          <w:lang w:val="en-US" w:eastAsia="en-US"/>
        </w:rPr>
      </w:pPr>
      <w:r>
        <w:rPr>
          <w:lang w:val="en-US" w:eastAsia="en-US"/>
          <w:rPrChange w:id="0" w:author="Societe Generale" w:date="2001-08-28T11:43:00Z"/>
        </w:rPr>
        <w:t>Conclusion</w:t>
      </w:r>
    </w:p>
    <w:p>
      <w:pPr>
        <w:pStyle w:val="Normal"/>
        <w:rPr>
          <w:lang w:val="en-US" w:eastAsia="en-US"/>
        </w:rPr>
      </w:pPr>
      <w:r>
        <w:rPr>
          <w:lang w:val="en-US" w:eastAsia="en-US"/>
        </w:rPr>
      </w:r>
    </w:p>
    <w:p>
      <w:pPr>
        <w:pStyle w:val="Normal"/>
        <w:rPr/>
      </w:pPr>
      <w:r>
        <w:rPr/>
        <w:t xml:space="preserve">Despite difficult market conditions creating a “lenders’ market,” the TECO-Panda projects’ return to the basics yielded a great syndication success.  Not only was the financing well oversubscribed in primary syndication, but (unlike any other large project financing of recent times) there has continued to be an active secondary market trading the paper at or near par.  </w:t>
      </w:r>
    </w:p>
    <w:p>
      <w:pPr>
        <w:pStyle w:val="Normal"/>
        <w:rPr/>
      </w:pPr>
      <w:r>
        <w:rPr/>
      </w:r>
    </w:p>
    <w:p>
      <w:pPr>
        <w:pStyle w:val="Normal"/>
        <w:rPr/>
      </w:pPr>
      <w:r>
        <w:rPr/>
        <w:t>Ultimately, the strategy implemented mollified all of the lenders’ concerns, resulting in the most successful syndication of the year. The concerns over the California energy crisis were alleviated through strong credit fundamentals and a clean financial structure.  The underwriting risk was mitigated by permitting closing to occur only after a large portion of the deal had been syndicated and by retaining limited price flex thereafter. The usual reliance on the retail investor was eliminated through substantial underwriting economics provided to a larger number of institutions.  Finally, the presence of future business opportunities with the sponsors was conveyed through the significant marketing effort undertaken by the sponsors.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G LucidaSans">
    <w:charset w:val="00" w:characterSet="windows-1252"/>
    <w:family w:val="auto"/>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rFonts w:ascii="SG LucidaSans" w:hAnsi="SG LucidaSans" w:cs="SG LucidaSans"/>
      <w:sz w:val="18"/>
      <w:u w:val="single"/>
      <w:lang w:val="en-CA" w:eastAsia="en-CA"/>
    </w:rPr>
  </w:style>
  <w:style w:type="paragraph" w:styleId="Heading3">
    <w:name w:val="heading 3"/>
    <w:basedOn w:val="Normal"/>
    <w:next w:val="Normal"/>
    <w:qFormat/>
    <w:pPr>
      <w:keepNext w:val="true"/>
      <w:numPr>
        <w:ilvl w:val="2"/>
        <w:numId w:val="1"/>
      </w:numPr>
      <w:outlineLvl w:val="2"/>
    </w:pPr>
    <w:rPr>
      <w:b/>
      <w:u w:val="single"/>
      <w:lang w:val="en-CA" w:eastAsia="en-CA"/>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St2z0">
    <w:name w:val="WW8NumSt2z0"/>
    <w:qFormat/>
    <w:rPr>
      <w:rFonts w:ascii="Wingdings" w:hAnsi="Wingdings" w:cs="Wingdings"/>
    </w:rPr>
  </w:style>
  <w:style w:type="character" w:styleId="WW8NumSt33z0">
    <w:name w:val="WW8NumSt3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SG LucidaSans" w:hAnsi="SG LucidaSans" w:cs="SG LucidaSans"/>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2001-11-21T18:07:00Z</dcterms:created>
  <dc:creator>is</dc:creator>
  <dc:description/>
  <dc:language>en-CA</dc:language>
  <cp:lastModifiedBy>Steve Young</cp:lastModifiedBy>
  <cp:lastPrinted>2001-09-06T14:12:00Z</cp:lastPrinted>
  <dcterms:modified xsi:type="dcterms:W3CDTF">2001-11-21T18:07:00Z</dcterms:modified>
  <cp:revision>2</cp:revision>
  <dc:subject/>
  <dc:title>Success in the Making – Teco and Panda’s $2</dc:title>
</cp:coreProperties>
</file>