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u w:val="single"/>
        </w:rPr>
      </w:pPr>
      <w:r>
        <w:rPr>
          <w:u w:val="single"/>
        </w:rPr>
      </w:r>
    </w:p>
    <w:p>
      <w:pPr>
        <w:pStyle w:val="Heading"/>
        <w:rPr>
          <w:u w:val="single"/>
        </w:rPr>
      </w:pPr>
      <w:r>
        <w:rPr>
          <w:u w:val="single"/>
        </w:rPr>
        <w:t>CONFIDENTIALITY AGREEMENT</w:t>
      </w:r>
    </w:p>
    <w:p>
      <w:pPr>
        <w:pStyle w:val="Normal"/>
        <w:jc w:val="center"/>
        <w:rPr>
          <w:b/>
          <w:u w:val="single"/>
        </w:rPr>
      </w:pPr>
      <w:r>
        <w:rPr>
          <w:b/>
          <w:u w:val="single"/>
        </w:rPr>
      </w:r>
    </w:p>
    <w:p>
      <w:pPr>
        <w:pStyle w:val="BodyText"/>
        <w:spacing w:before="240" w:after="0"/>
        <w:rPr/>
      </w:pPr>
      <w:r>
        <w:rPr/>
        <w:t>THIS CONFIDENTIALITY AGREEMENT (the “Agreement”), effective as of February 26, 2001 (the “Effective Date”), is made by and between ENRON GLOBAL LNG LLC, a corporation organized under the laws of Delaware (“ENRON”), and PETROLIAM NASIONAL BERHAD, a corporation organized under the laws of Malaysia (“PETRONAS”).  Each of PETRONAS and ENRON are sometimes individually referred to herein as a “Party”, and collectively as the “Parties.”</w:t>
      </w:r>
    </w:p>
    <w:p>
      <w:pPr>
        <w:pStyle w:val="BodyText"/>
        <w:spacing w:before="240" w:after="0"/>
        <w:rPr/>
      </w:pPr>
      <w:r>
        <w:rPr/>
        <w:t xml:space="preserve">WHEREAS: </w:t>
      </w:r>
    </w:p>
    <w:p>
      <w:pPr>
        <w:pStyle w:val="BodyText"/>
        <w:numPr>
          <w:ilvl w:val="0"/>
          <w:numId w:val="3"/>
        </w:numPr>
        <w:spacing w:before="240" w:after="0"/>
        <w:rPr/>
      </w:pPr>
      <w:r>
        <w:rPr/>
        <w:t>Petronas and its Affiliates are significant participants in the LNG industry in the region as LNG suppliers and transporters from their facilities at Bintulu, Sarawak, Malaysia;</w:t>
      </w:r>
    </w:p>
    <w:p>
      <w:pPr>
        <w:pStyle w:val="BodyText"/>
        <w:numPr>
          <w:ilvl w:val="0"/>
          <w:numId w:val="3"/>
        </w:numPr>
        <w:spacing w:before="240" w:after="0"/>
        <w:rPr/>
      </w:pPr>
      <w:r>
        <w:rPr/>
        <w:t xml:space="preserve">Enron and its Affiliates are marketers of LNG internationally and experienced in the development and use of on-line commodity trading products; and </w:t>
      </w:r>
    </w:p>
    <w:p>
      <w:pPr>
        <w:pStyle w:val="BodyText"/>
        <w:numPr>
          <w:ilvl w:val="0"/>
          <w:numId w:val="3"/>
        </w:numPr>
        <w:spacing w:before="240" w:after="0"/>
        <w:rPr/>
      </w:pPr>
      <w:r>
        <w:rPr/>
        <w:t>The Parties are interested in participating together in a feasibility study to evaluate potential opportunities related to on-line LNG trading (the “Feasibility Study”).</w:t>
      </w:r>
    </w:p>
    <w:p>
      <w:pPr>
        <w:pStyle w:val="BodyText"/>
        <w:spacing w:before="240" w:after="0"/>
        <w:ind w:start="360" w:end="0"/>
        <w:rPr/>
      </w:pPr>
      <w:r>
        <w:rPr>
          <w:rFonts w:eastAsia="Arial"/>
        </w:rPr>
        <w:t xml:space="preserve">  </w:t>
      </w:r>
      <w:r>
        <w:rPr/>
        <w:t>NOW THEREFORE, the Parties hereby agree as follows:</w:t>
      </w:r>
    </w:p>
    <w:p>
      <w:pPr>
        <w:pStyle w:val="Normal"/>
        <w:jc w:val="both"/>
        <w:rPr/>
      </w:pPr>
      <w:r>
        <w:rPr/>
      </w:r>
    </w:p>
    <w:p>
      <w:pPr>
        <w:pStyle w:val="BodyTextIndent"/>
        <w:numPr>
          <w:ilvl w:val="0"/>
          <w:numId w:val="1"/>
        </w:numPr>
        <w:jc w:val="both"/>
        <w:rPr/>
      </w:pPr>
      <w:r>
        <w:rPr/>
        <w:t>In connection with the Feasibility Study the Parties may from time to time disclose to each other certain information which each believes to be either confidential, proprietary or otherwise not generally available to the public (the “Confidential Information”).</w:t>
      </w:r>
    </w:p>
    <w:p>
      <w:pPr>
        <w:pStyle w:val="Normal"/>
        <w:ind w:hanging="720" w:start="720" w:end="0"/>
        <w:jc w:val="both"/>
        <w:rPr/>
      </w:pPr>
      <w:r>
        <w:rPr/>
      </w:r>
    </w:p>
    <w:p>
      <w:pPr>
        <w:pStyle w:val="Normal"/>
        <w:numPr>
          <w:ilvl w:val="0"/>
          <w:numId w:val="1"/>
        </w:numPr>
        <w:jc w:val="both"/>
        <w:rPr/>
      </w:pPr>
      <w:r>
        <w:rPr/>
        <w:t xml:space="preserve">As used herein, “Confidential Information” shall mean (a) written and oral confidential or proprietary information (whether originally generated by a Party or its Affiliates or any third party) disclosed by the Parties to each other relating to the business contemplated in the Feasibility Study and which is disclosed after the Effective Date; (b) all information regarding the existence, nature or progress of any discussion relating to the Feasibility Study; and (c) in each case including documents and information prepared or generated by the Parties from such disclosed information.  All Confidential Information, and any copyright, trademark, trade secret, patent and other intellectual property rights contained therein or associated therewith, shall remain the sole and exclusive property of the disclosing Party.  The term “written information” shall include information recorded or stored in a digital format on electronic, magnetic or optical media.   </w:t>
      </w:r>
    </w:p>
    <w:p>
      <w:pPr>
        <w:pStyle w:val="Normal"/>
        <w:jc w:val="both"/>
        <w:rPr/>
      </w:pPr>
      <w:r>
        <w:rPr/>
      </w:r>
    </w:p>
    <w:p>
      <w:pPr>
        <w:pStyle w:val="Normal"/>
        <w:numPr>
          <w:ilvl w:val="0"/>
          <w:numId w:val="1"/>
        </w:numPr>
        <w:jc w:val="both"/>
        <w:rPr/>
      </w:pPr>
      <w:r>
        <w:rPr/>
        <w:t xml:space="preserve">Confidential Information disclosed under this Agreement shall be used by the Parties solely for the purposes of the Feasibility Study.  The Parties shall not disclose any Confidential Information to any third party other than to its Representatives who need to know the Confidential Information for the purpose of evaluating or discussing the Feasibility Study without the express written consent of the other Party.  As used herein, “Representatives” of a Party shall mean such Party’s directors, officers, employees, advisors (including attorneys, auditors and other professional consultants), lenders and Affiliates, and such Affiliates’ directors, officers, employees and advisors.  As used herein, “Affiliate” shall mean, with respect to a Party, any person or entity that such Party controls, is controlled by, or is under common control with such Party. The Parties shall (a) inform each Representative receiving Confidential Information of the obligation of nondisclosure pursuant to this Agreement and (b) be responsible for any breach of this Agreement by any of its Representatives </w:t>
      </w:r>
    </w:p>
    <w:p>
      <w:pPr>
        <w:pStyle w:val="Normal"/>
        <w:jc w:val="both"/>
        <w:rPr/>
      </w:pPr>
      <w:r>
        <w:rPr/>
      </w:r>
    </w:p>
    <w:p>
      <w:pPr>
        <w:pStyle w:val="BodyTextIndent"/>
        <w:numPr>
          <w:ilvl w:val="0"/>
          <w:numId w:val="1"/>
        </w:numPr>
        <w:tabs>
          <w:tab w:val="clear" w:pos="720"/>
          <w:tab w:val="left" w:pos="1260" w:leader="none"/>
        </w:tabs>
        <w:jc w:val="both"/>
        <w:rPr/>
      </w:pPr>
      <w:r>
        <w:rPr/>
        <w:t>In consideration of certain Confidential Information being furnished to Petronas, Petronas agrees, that neither Petronas nor any of its Affiliates will, without the prior consent of Enron, use the Confidential Information or any application derived from the Confidential Information for any purpose or in any activities which could be in competition with the on-line commodity trading products developed by Enron or its Affiliates.</w:t>
      </w:r>
    </w:p>
    <w:p>
      <w:pPr>
        <w:pStyle w:val="Normal"/>
        <w:jc w:val="both"/>
        <w:rPr>
          <w:rFonts w:eastAsia="Arial"/>
        </w:rPr>
      </w:pPr>
      <w:r>
        <w:rPr>
          <w:rFonts w:eastAsia="Arial"/>
        </w:rPr>
        <w:t xml:space="preserve">                                                                                                                                       </w:t>
      </w:r>
    </w:p>
    <w:p>
      <w:pPr>
        <w:pStyle w:val="Normal"/>
        <w:numPr>
          <w:ilvl w:val="0"/>
          <w:numId w:val="1"/>
        </w:numPr>
        <w:jc w:val="both"/>
        <w:rPr/>
      </w:pPr>
      <w:r>
        <w:rPr/>
        <w:t>Information shall not be considered to be Confidential Information, and a Party shall not be liable for the use and disclosure thereof, if such information:</w:t>
      </w:r>
    </w:p>
    <w:p>
      <w:pPr>
        <w:pStyle w:val="Normal"/>
        <w:jc w:val="both"/>
        <w:rPr/>
      </w:pPr>
      <w:r>
        <w:rPr/>
      </w:r>
    </w:p>
    <w:p>
      <w:pPr>
        <w:pStyle w:val="BodyTextIndent2"/>
        <w:numPr>
          <w:ilvl w:val="0"/>
          <w:numId w:val="2"/>
        </w:numPr>
        <w:jc w:val="both"/>
        <w:rPr/>
      </w:pPr>
      <w:r>
        <w:rPr/>
        <w:t>was in the public domain at the time of disclosure or use, or thereafter comes into the public domain through no fault of the receiving Party;</w:t>
      </w:r>
    </w:p>
    <w:p>
      <w:pPr>
        <w:pStyle w:val="Normal"/>
        <w:numPr>
          <w:ilvl w:val="0"/>
          <w:numId w:val="2"/>
        </w:numPr>
        <w:jc w:val="both"/>
        <w:rPr/>
      </w:pPr>
      <w:r>
        <w:rPr/>
        <w:t>is otherwise available or known to the receiving Party without restrictions on use or disclosure similar to those contained in this Agreement;</w:t>
      </w:r>
    </w:p>
    <w:p>
      <w:pPr>
        <w:pStyle w:val="Normal"/>
        <w:numPr>
          <w:ilvl w:val="0"/>
          <w:numId w:val="2"/>
        </w:numPr>
        <w:tabs>
          <w:tab w:val="clear" w:pos="720"/>
          <w:tab w:val="left" w:pos="1260" w:leader="none"/>
        </w:tabs>
        <w:jc w:val="both"/>
        <w:rPr/>
      </w:pPr>
      <w:r>
        <w:rPr/>
        <w:t>is independently developed by the receiving Party or its Representatives as evidenced by its written records; or</w:t>
      </w:r>
    </w:p>
    <w:p>
      <w:pPr>
        <w:pStyle w:val="Normal"/>
        <w:numPr>
          <w:ilvl w:val="0"/>
          <w:numId w:val="2"/>
        </w:numPr>
        <w:tabs>
          <w:tab w:val="clear" w:pos="720"/>
          <w:tab w:val="left" w:pos="1260" w:leader="none"/>
        </w:tabs>
        <w:jc w:val="both"/>
        <w:rPr/>
      </w:pPr>
      <w:r>
        <w:rPr/>
        <w:t>is required to be disclosed under applicable law, rules or regulations, a governmental order or decree, or the rules of any recognized stock exchange.</w:t>
      </w:r>
    </w:p>
    <w:p>
      <w:pPr>
        <w:pStyle w:val="Normal"/>
        <w:jc w:val="both"/>
        <w:rPr/>
      </w:pPr>
      <w:r>
        <w:rPr/>
      </w:r>
    </w:p>
    <w:p>
      <w:pPr>
        <w:pStyle w:val="BodyTextIndent"/>
        <w:numPr>
          <w:ilvl w:val="0"/>
          <w:numId w:val="1"/>
        </w:numPr>
        <w:tabs>
          <w:tab w:val="clear" w:pos="720"/>
          <w:tab w:val="left" w:pos="1260" w:leader="none"/>
        </w:tabs>
        <w:jc w:val="both"/>
        <w:rPr/>
      </w:pPr>
      <w:r>
        <w:rPr/>
        <w:t>If a Party or any Representative of a Party is requested or required in connection with any legal or administrative proceeding (by oral question, interrogatory, request for information or documents, subpoena, civil investigative demand or similar process) to disclose any Confidential Information provided by a Party pursuant to this Agreement, the Party receiving such request or subject to such requirement shall promptly notify the other Party of such request or requirement so that the other Party may seek a protective order or other appropriate remedy.  The Party receiving such request or subject to such requirement shall at its own expense cooperate in all respects with, and lend all reasonable assistance to, the other Party in connection with obtaining any such protective order or other remedy.  The Parties agree that any disclosures of Confidential Information under the circumstances described in this paragraph 5 shall be strictly limited to the extent to which the party receiving such request or subject to such requirement is legally obligated to make such disclosure, but not further.</w:t>
      </w:r>
    </w:p>
    <w:p>
      <w:pPr>
        <w:pStyle w:val="BodyTextIndent"/>
        <w:tabs>
          <w:tab w:val="clear" w:pos="720"/>
          <w:tab w:val="left" w:pos="1260" w:leader="none"/>
        </w:tabs>
        <w:ind w:hanging="0" w:start="0" w:end="0"/>
        <w:jc w:val="both"/>
        <w:rPr/>
      </w:pPr>
      <w:r>
        <w:rPr/>
      </w:r>
    </w:p>
    <w:p>
      <w:pPr>
        <w:pStyle w:val="BodyTextIndent"/>
        <w:numPr>
          <w:ilvl w:val="0"/>
          <w:numId w:val="1"/>
        </w:numPr>
        <w:tabs>
          <w:tab w:val="clear" w:pos="720"/>
          <w:tab w:val="left" w:pos="1260" w:leader="none"/>
        </w:tabs>
        <w:jc w:val="both"/>
        <w:rPr/>
      </w:pPr>
      <w:r>
        <w:rPr/>
        <w:t xml:space="preserve">The written Confidential Information, except for that portion of the Confidential Information that may be found in analyses, compilations, studies or other documents prepared by the recipient of Confidential Information or its Representatives, will be returned promptly upon written request and no copies shall be retained by such recipient or its Representatives, with the exception of a single file copy which shall remain subject to the provisions of this Agreement and utilized for audit and legal purposes only.  That portion of the Confidential Information that may be found in analyses, compilations, studies or other documents and Confidential Information not so requested or returned will be held and kept subject to the terms of this Agreement, or, upon written request, promptly destroyed.  In the event of such destruction, an officer of the recipient shall promptly confirm in writing that the destruction has been completed.  </w:t>
      </w:r>
    </w:p>
    <w:p>
      <w:pPr>
        <w:pStyle w:val="BodyTextIndent"/>
        <w:tabs>
          <w:tab w:val="clear" w:pos="720"/>
          <w:tab w:val="left" w:pos="1260" w:leader="none"/>
        </w:tabs>
        <w:ind w:hanging="0" w:start="0" w:end="0"/>
        <w:jc w:val="both"/>
        <w:rPr/>
      </w:pPr>
      <w:r>
        <w:rPr/>
      </w:r>
    </w:p>
    <w:p>
      <w:pPr>
        <w:pStyle w:val="BodyTextIndent"/>
        <w:numPr>
          <w:ilvl w:val="0"/>
          <w:numId w:val="1"/>
        </w:numPr>
        <w:tabs>
          <w:tab w:val="clear" w:pos="720"/>
          <w:tab w:val="left" w:pos="1260" w:leader="none"/>
        </w:tabs>
        <w:jc w:val="both"/>
        <w:rPr/>
      </w:pPr>
      <w:r>
        <w:rPr/>
        <w:t>Both Parties hereby represent and warrant that they have the right and authority to disclose the Confidential Information to the other Party.  However, no representation or warranty is made as to the accuracy or completeness of the Confidential Information, and neither Party nor any of its Affiliates shall have any liability resulting from the other Party’s use of such information.</w:t>
      </w:r>
    </w:p>
    <w:p>
      <w:pPr>
        <w:pStyle w:val="BodyTextIndent"/>
        <w:tabs>
          <w:tab w:val="clear" w:pos="720"/>
          <w:tab w:val="left" w:pos="1260" w:leader="none"/>
        </w:tabs>
        <w:ind w:hanging="0" w:start="0" w:end="0"/>
        <w:jc w:val="both"/>
        <w:rPr/>
      </w:pPr>
      <w:r>
        <w:rPr/>
      </w:r>
    </w:p>
    <w:p>
      <w:pPr>
        <w:pStyle w:val="BodyTextIndent"/>
        <w:numPr>
          <w:ilvl w:val="0"/>
          <w:numId w:val="1"/>
        </w:numPr>
        <w:tabs>
          <w:tab w:val="clear" w:pos="720"/>
          <w:tab w:val="left" w:pos="1260" w:leader="none"/>
        </w:tabs>
        <w:jc w:val="both"/>
        <w:rPr/>
      </w:pPr>
      <w:r>
        <w:rPr/>
        <w:t>This Agreement and the obligations it imposes shall expire automatically on the date when the Parties enter into a further agreement in respect of activities or transactions which are undertaken as a result of the Feasibility Study and which contains provisions covering confidentiality.  Unless earlier terminated under the preceding sentence, this Agreement and the obligations it imposes shall expire six (6) months</w:t>
      </w:r>
      <w:r>
        <w:rPr>
          <w:u w:val="single"/>
        </w:rPr>
        <w:t xml:space="preserve"> </w:t>
      </w:r>
      <w:r>
        <w:rPr/>
        <w:t xml:space="preserve">from the date hereof.  </w:t>
      </w:r>
    </w:p>
    <w:p>
      <w:pPr>
        <w:pStyle w:val="BodyTextIndent"/>
        <w:tabs>
          <w:tab w:val="clear" w:pos="720"/>
          <w:tab w:val="left" w:pos="1260" w:leader="none"/>
        </w:tabs>
        <w:ind w:hanging="0" w:start="0" w:end="0"/>
        <w:jc w:val="both"/>
        <w:rPr/>
      </w:pPr>
      <w:r>
        <w:rPr/>
      </w:r>
    </w:p>
    <w:p>
      <w:pPr>
        <w:pStyle w:val="BodyTextIndent"/>
        <w:numPr>
          <w:ilvl w:val="0"/>
          <w:numId w:val="1"/>
        </w:numPr>
        <w:tabs>
          <w:tab w:val="clear" w:pos="720"/>
          <w:tab w:val="left" w:pos="1260" w:leader="none"/>
        </w:tabs>
        <w:jc w:val="both"/>
        <w:rPr/>
      </w:pPr>
      <w:r>
        <w:rPr/>
        <w:t>This Agreement may not be changed or modified, released, discharged, abandoned or assigned (in whole or in part) except by an instrument in writing signed by an authorized representative of each Party hereto.  Notwithstanding the foregoing, either Party may assign this Agreement to any Affiliate upon notice to, but without the consent of the other Party.</w:t>
      </w:r>
    </w:p>
    <w:p>
      <w:pPr>
        <w:pStyle w:val="BodyTextIndent"/>
        <w:tabs>
          <w:tab w:val="clear" w:pos="720"/>
          <w:tab w:val="left" w:pos="1260" w:leader="none"/>
        </w:tabs>
        <w:ind w:hanging="0" w:start="0" w:end="0"/>
        <w:jc w:val="both"/>
        <w:rPr/>
      </w:pPr>
      <w:r>
        <w:rPr/>
      </w:r>
    </w:p>
    <w:p>
      <w:pPr>
        <w:pStyle w:val="BodyTextIndent"/>
        <w:numPr>
          <w:ilvl w:val="0"/>
          <w:numId w:val="1"/>
        </w:numPr>
        <w:tabs>
          <w:tab w:val="clear" w:pos="720"/>
          <w:tab w:val="left" w:pos="1260" w:leader="none"/>
        </w:tabs>
        <w:jc w:val="both"/>
        <w:rPr/>
      </w:pPr>
      <w:r>
        <w:rPr/>
        <w:t>This Agreement shall be governed by, construed, interpreted and enforced in accordance with, the laws of England without giving effect to the conflict of laws rules of said jurisdiction.</w:t>
      </w:r>
    </w:p>
    <w:p>
      <w:pPr>
        <w:pStyle w:val="BodyTextIndent"/>
        <w:tabs>
          <w:tab w:val="clear" w:pos="720"/>
          <w:tab w:val="left" w:pos="1260" w:leader="none"/>
        </w:tabs>
        <w:ind w:hanging="0" w:start="0" w:end="0"/>
        <w:jc w:val="both"/>
        <w:rPr/>
      </w:pPr>
      <w:r>
        <w:rPr/>
      </w:r>
    </w:p>
    <w:p>
      <w:pPr>
        <w:pStyle w:val="BodyTextIndent"/>
        <w:numPr>
          <w:ilvl w:val="0"/>
          <w:numId w:val="1"/>
        </w:numPr>
        <w:tabs>
          <w:tab w:val="left" w:pos="720" w:leader="none"/>
          <w:tab w:val="left" w:pos="1260" w:leader="none"/>
        </w:tabs>
        <w:jc w:val="both"/>
        <w:rPr/>
      </w:pPr>
      <w:r>
        <w:rPr/>
        <w:t>Any dispute, claim or controversy relating to this Agreement, or the interpretation or validity hereof, shall be referred to arbitration by a panel consisting of three (3) arbitrators and conducted in accordance with the UNCITRAL Arbitration Rules contained in Resolution 31/98 adopted by the United Nations General Assembly on December 15, 1976 and entitled “Arbitration Rules of the United Nations Commission on International Trade Law,” as in force at the time such arbitration is commenced.  The Parties agree that any arbitration shall take place in London, England and that the language of any arbitration proceedings shall be English.  Any award is final and binding upon the Parties concerned, and judgment upon the award rendered by the arbitrators may be entered in any court having jurisdiction over the Party against whom judgement is sought.</w:t>
      </w:r>
    </w:p>
    <w:p>
      <w:pPr>
        <w:pStyle w:val="BodyTextIndent"/>
        <w:tabs>
          <w:tab w:val="clear" w:pos="720"/>
          <w:tab w:val="left" w:pos="1260" w:leader="none"/>
        </w:tabs>
        <w:jc w:val="both"/>
        <w:rPr/>
      </w:pPr>
      <w:r>
        <w:rPr/>
      </w:r>
    </w:p>
    <w:p>
      <w:pPr>
        <w:pStyle w:val="BodyTextIndent"/>
        <w:numPr>
          <w:ilvl w:val="0"/>
          <w:numId w:val="1"/>
        </w:numPr>
        <w:tabs>
          <w:tab w:val="left" w:pos="720" w:leader="none"/>
          <w:tab w:val="left" w:pos="1260" w:leader="none"/>
        </w:tabs>
        <w:jc w:val="both"/>
        <w:rPr/>
      </w:pPr>
      <w:r>
        <w:rPr/>
        <w:t>To the extent that any Party hereto is wholly or partly or directly or indirectly owned or controlled by a government entity or body, such Party agrees that in the event of commencement of legal process by any Party hereto, no immunity from claim in respect of such legal process shall be sought on the ground of sovereign immunity.</w:t>
      </w:r>
    </w:p>
    <w:p>
      <w:pPr>
        <w:pStyle w:val="BodyTextIndent"/>
        <w:tabs>
          <w:tab w:val="left" w:pos="720" w:leader="none"/>
          <w:tab w:val="left" w:pos="1260" w:leader="none"/>
        </w:tabs>
        <w:ind w:hanging="0" w:start="0" w:end="0"/>
        <w:jc w:val="both"/>
        <w:rPr/>
      </w:pPr>
      <w:r>
        <w:rPr/>
      </w:r>
    </w:p>
    <w:p>
      <w:pPr>
        <w:pStyle w:val="BodyTextIndent"/>
        <w:numPr>
          <w:ilvl w:val="0"/>
          <w:numId w:val="1"/>
        </w:numPr>
        <w:tabs>
          <w:tab w:val="left" w:pos="720" w:leader="none"/>
          <w:tab w:val="left" w:pos="1260" w:leader="none"/>
        </w:tabs>
        <w:jc w:val="both"/>
        <w:rPr/>
      </w:pPr>
      <w:r>
        <w:rPr/>
        <w:t>If any of the provisions of this Agreement are determined to be invalid or unenforceable under applicable law, they are, to that extent, deemed omitted.  The invalidity or unenforceability of any of the provision of this Agreement shall not affect the remaining provisions of this Agreement.</w:t>
      </w:r>
    </w:p>
    <w:p>
      <w:pPr>
        <w:pStyle w:val="BodyTextIndent"/>
        <w:tabs>
          <w:tab w:val="clear" w:pos="720"/>
          <w:tab w:val="left" w:pos="1260" w:leader="none"/>
        </w:tabs>
        <w:ind w:hanging="0" w:start="0" w:end="0"/>
        <w:jc w:val="both"/>
        <w:rPr/>
      </w:pPr>
      <w:r>
        <w:rPr/>
      </w:r>
    </w:p>
    <w:p>
      <w:pPr>
        <w:pStyle w:val="BodyTextIndent"/>
        <w:numPr>
          <w:ilvl w:val="0"/>
          <w:numId w:val="1"/>
        </w:numPr>
        <w:tabs>
          <w:tab w:val="clear" w:pos="720"/>
          <w:tab w:val="left" w:pos="1260" w:leader="none"/>
        </w:tabs>
        <w:jc w:val="both"/>
        <w:rPr/>
      </w:pPr>
      <w:r>
        <w:rPr/>
        <w:t>No Party shall be liable in any action initiated by one against the other for special, indirect or consequential damages resulting from or arising out of this Agreement, including loss of profit or business interruptions, however same may be caused.</w:t>
      </w:r>
    </w:p>
    <w:p>
      <w:pPr>
        <w:pStyle w:val="BodyTextIndent"/>
        <w:tabs>
          <w:tab w:val="clear" w:pos="720"/>
          <w:tab w:val="left" w:pos="1260" w:leader="none"/>
        </w:tabs>
        <w:ind w:hanging="0" w:start="0" w:end="0"/>
        <w:jc w:val="both"/>
        <w:rPr/>
      </w:pPr>
      <w:r>
        <w:rPr/>
      </w:r>
    </w:p>
    <w:p>
      <w:pPr>
        <w:pStyle w:val="BodyTextIndent"/>
        <w:numPr>
          <w:ilvl w:val="0"/>
          <w:numId w:val="1"/>
        </w:numPr>
        <w:tabs>
          <w:tab w:val="clear" w:pos="720"/>
          <w:tab w:val="left" w:pos="1260" w:leader="none"/>
        </w:tabs>
        <w:jc w:val="both"/>
        <w:rPr/>
      </w:pPr>
      <w:r>
        <w:rPr/>
        <w:t>All notices and other communications between the Parties under this Agreement, unless specifically provided otherwise, shall be in writing and shall be deemed duly given upon receipt after being delivered by hand or sent by registered or certified mail, return receipt requested, postage prepaid or by recognized overnight courier service or by confirmed telecopy, addressed as follows:</w:t>
      </w:r>
    </w:p>
    <w:p>
      <w:pPr>
        <w:pStyle w:val="BodyTextIndent"/>
        <w:tabs>
          <w:tab w:val="clear" w:pos="720"/>
          <w:tab w:val="left" w:pos="1260" w:leader="none"/>
        </w:tabs>
        <w:ind w:hanging="0" w:start="0" w:end="0"/>
        <w:jc w:val="both"/>
        <w:rPr/>
      </w:pPr>
      <w:r>
        <w:rPr/>
        <w:tab/>
      </w:r>
    </w:p>
    <w:p>
      <w:pPr>
        <w:pStyle w:val="BodyTextIndent"/>
        <w:tabs>
          <w:tab w:val="clear" w:pos="720"/>
          <w:tab w:val="left" w:pos="1260" w:leader="none"/>
        </w:tabs>
        <w:ind w:hanging="0" w:start="0" w:end="0"/>
        <w:jc w:val="both"/>
        <w:rPr/>
      </w:pPr>
      <w:r>
        <w:rPr/>
        <w:tab/>
      </w:r>
    </w:p>
    <w:p>
      <w:pPr>
        <w:pStyle w:val="BodyTextIndent"/>
        <w:tabs>
          <w:tab w:val="clear" w:pos="720"/>
          <w:tab w:val="left" w:pos="1260" w:leader="none"/>
        </w:tabs>
        <w:ind w:hanging="0" w:start="0" w:end="0"/>
        <w:jc w:val="both"/>
        <w:rPr/>
      </w:pPr>
      <w:r>
        <w:rPr/>
        <w:tab/>
        <w:t>If to ENRON:</w:t>
      </w:r>
    </w:p>
    <w:p>
      <w:pPr>
        <w:pStyle w:val="BodyTextIndent"/>
        <w:tabs>
          <w:tab w:val="clear" w:pos="720"/>
          <w:tab w:val="left" w:pos="1260" w:leader="none"/>
        </w:tabs>
        <w:ind w:hanging="0" w:start="0" w:end="0"/>
        <w:jc w:val="both"/>
        <w:rPr/>
      </w:pPr>
      <w:r>
        <w:rPr/>
      </w:r>
    </w:p>
    <w:p>
      <w:pPr>
        <w:pStyle w:val="BodyTextIndent"/>
        <w:tabs>
          <w:tab w:val="clear" w:pos="720"/>
          <w:tab w:val="left" w:pos="1260" w:leader="none"/>
        </w:tabs>
        <w:ind w:hanging="0" w:start="0" w:end="0"/>
        <w:jc w:val="both"/>
        <w:rPr/>
      </w:pPr>
      <w:r>
        <w:rPr/>
        <w:tab/>
        <w:tab/>
        <w:tab/>
        <w:t>ENRON GLOBAL LNG LLC</w:t>
      </w:r>
    </w:p>
    <w:p>
      <w:pPr>
        <w:pStyle w:val="BodyTextIndent"/>
        <w:tabs>
          <w:tab w:val="clear" w:pos="720"/>
          <w:tab w:val="left" w:pos="1260" w:leader="none"/>
        </w:tabs>
        <w:ind w:hanging="0" w:start="0" w:end="0"/>
        <w:jc w:val="both"/>
        <w:rPr/>
      </w:pPr>
      <w:r>
        <w:rPr/>
        <w:tab/>
        <w:tab/>
        <w:tab/>
        <w:t>c/o ENRON Middle East</w:t>
      </w:r>
    </w:p>
    <w:p>
      <w:pPr>
        <w:pStyle w:val="BodyTextIndent"/>
        <w:tabs>
          <w:tab w:val="clear" w:pos="720"/>
          <w:tab w:val="left" w:pos="1260" w:leader="none"/>
        </w:tabs>
        <w:ind w:hanging="0" w:start="0" w:end="0"/>
        <w:jc w:val="both"/>
        <w:rPr/>
      </w:pPr>
      <w:r>
        <w:rPr/>
        <w:tab/>
        <w:tab/>
        <w:tab/>
        <w:t>333 Clay Street, Suite 1800</w:t>
      </w:r>
    </w:p>
    <w:p>
      <w:pPr>
        <w:pStyle w:val="BodyTextIndent"/>
        <w:tabs>
          <w:tab w:val="clear" w:pos="720"/>
          <w:tab w:val="left" w:pos="1260" w:leader="none"/>
        </w:tabs>
        <w:ind w:hanging="0" w:start="0" w:end="0"/>
        <w:jc w:val="both"/>
        <w:rPr/>
      </w:pPr>
      <w:r>
        <w:rPr/>
        <w:tab/>
        <w:tab/>
        <w:tab/>
        <w:t>Houston, Texas 77002</w:t>
      </w:r>
    </w:p>
    <w:p>
      <w:pPr>
        <w:pStyle w:val="BodyTextIndent"/>
        <w:tabs>
          <w:tab w:val="clear" w:pos="720"/>
          <w:tab w:val="left" w:pos="1260" w:leader="none"/>
        </w:tabs>
        <w:ind w:hanging="0" w:start="0" w:end="0"/>
        <w:jc w:val="both"/>
        <w:rPr/>
      </w:pPr>
      <w:r>
        <w:rPr/>
        <w:tab/>
        <w:tab/>
        <w:tab/>
      </w:r>
    </w:p>
    <w:p>
      <w:pPr>
        <w:pStyle w:val="BodyTextIndent"/>
        <w:tabs>
          <w:tab w:val="clear" w:pos="720"/>
          <w:tab w:val="left" w:pos="1260" w:leader="none"/>
        </w:tabs>
        <w:ind w:hanging="0" w:start="0" w:end="0"/>
        <w:jc w:val="both"/>
        <w:rPr/>
      </w:pPr>
      <w:r>
        <w:rPr/>
        <w:tab/>
        <w:tab/>
        <w:tab/>
        <w:t>Attention: General Counsel – LNG</w:t>
      </w:r>
    </w:p>
    <w:p>
      <w:pPr>
        <w:pStyle w:val="BodyTextIndent"/>
        <w:tabs>
          <w:tab w:val="clear" w:pos="720"/>
          <w:tab w:val="left" w:pos="1260" w:leader="none"/>
        </w:tabs>
        <w:ind w:hanging="0" w:start="0" w:end="0"/>
        <w:jc w:val="both"/>
        <w:rPr/>
      </w:pPr>
      <w:r>
        <w:rPr/>
        <w:tab/>
        <w:tab/>
        <w:tab/>
        <w:t>Telephone: (713) 345-7804</w:t>
      </w:r>
    </w:p>
    <w:p>
      <w:pPr>
        <w:pStyle w:val="BodyTextIndent"/>
        <w:tabs>
          <w:tab w:val="clear" w:pos="720"/>
          <w:tab w:val="left" w:pos="1260" w:leader="none"/>
        </w:tabs>
        <w:ind w:hanging="0" w:start="0" w:end="0"/>
        <w:jc w:val="both"/>
        <w:rPr/>
      </w:pPr>
      <w:r>
        <w:rPr/>
        <w:tab/>
        <w:tab/>
        <w:tab/>
        <w:t>Telecopy: (713) 646-6058</w:t>
      </w:r>
    </w:p>
    <w:p>
      <w:pPr>
        <w:pStyle w:val="BodyTextIndent"/>
        <w:tabs>
          <w:tab w:val="clear" w:pos="720"/>
          <w:tab w:val="left" w:pos="1260" w:leader="none"/>
        </w:tabs>
        <w:ind w:hanging="0" w:start="0" w:end="0"/>
        <w:jc w:val="both"/>
        <w:rPr/>
      </w:pPr>
      <w:r>
        <w:rPr/>
        <w:tab/>
      </w:r>
    </w:p>
    <w:p>
      <w:pPr>
        <w:pStyle w:val="BodyTextIndent"/>
        <w:keepNext w:val="true"/>
        <w:tabs>
          <w:tab w:val="clear" w:pos="720"/>
          <w:tab w:val="left" w:pos="1260" w:leader="none"/>
        </w:tabs>
        <w:ind w:hanging="0" w:start="0" w:end="0"/>
        <w:jc w:val="both"/>
        <w:rPr/>
      </w:pPr>
      <w:r>
        <w:rPr/>
        <w:tab/>
        <w:t>If to PETRONAS:</w:t>
      </w:r>
    </w:p>
    <w:p>
      <w:pPr>
        <w:pStyle w:val="BodyTextIndent"/>
        <w:keepNext w:val="true"/>
        <w:tabs>
          <w:tab w:val="clear" w:pos="720"/>
          <w:tab w:val="left" w:pos="1260" w:leader="none"/>
        </w:tabs>
        <w:ind w:hanging="0" w:start="0" w:end="0"/>
        <w:jc w:val="both"/>
        <w:rPr/>
      </w:pPr>
      <w:r>
        <w:rPr/>
      </w:r>
    </w:p>
    <w:p>
      <w:pPr>
        <w:pStyle w:val="BodyTextIndent"/>
        <w:keepNext w:val="true"/>
        <w:tabs>
          <w:tab w:val="clear" w:pos="720"/>
          <w:tab w:val="left" w:pos="1260" w:leader="none"/>
        </w:tabs>
        <w:ind w:hanging="0" w:start="0" w:end="0"/>
        <w:jc w:val="both"/>
        <w:rPr/>
      </w:pPr>
      <w:r>
        <w:rPr/>
        <w:tab/>
        <w:tab/>
        <w:tab/>
        <w:t>PETROLIAM NASIONAL BERHAD</w:t>
      </w:r>
    </w:p>
    <w:p>
      <w:pPr>
        <w:pStyle w:val="BodyTextIndent"/>
        <w:keepNext w:val="true"/>
        <w:tabs>
          <w:tab w:val="clear" w:pos="720"/>
          <w:tab w:val="left" w:pos="1260" w:leader="none"/>
        </w:tabs>
        <w:ind w:hanging="0" w:start="0" w:end="0"/>
        <w:jc w:val="both"/>
        <w:rPr/>
      </w:pPr>
      <w:r>
        <w:rPr/>
        <w:tab/>
        <w:tab/>
        <w:tab/>
        <w:t>Level 79, Tower 1</w:t>
      </w:r>
    </w:p>
    <w:p>
      <w:pPr>
        <w:pStyle w:val="BodyTextIndent"/>
        <w:keepNext w:val="true"/>
        <w:tabs>
          <w:tab w:val="clear" w:pos="720"/>
          <w:tab w:val="left" w:pos="1260" w:leader="none"/>
        </w:tabs>
        <w:ind w:hanging="0" w:start="0" w:end="0"/>
        <w:jc w:val="both"/>
        <w:rPr/>
      </w:pPr>
      <w:r>
        <w:rPr/>
        <w:tab/>
        <w:tab/>
        <w:tab/>
        <w:t>Petronas Twin Towers</w:t>
      </w:r>
    </w:p>
    <w:p>
      <w:pPr>
        <w:pStyle w:val="BodyTextIndent"/>
        <w:tabs>
          <w:tab w:val="clear" w:pos="720"/>
          <w:tab w:val="left" w:pos="1260" w:leader="none"/>
        </w:tabs>
        <w:ind w:hanging="0" w:start="0" w:end="0"/>
        <w:jc w:val="both"/>
        <w:rPr/>
      </w:pPr>
      <w:r>
        <w:rPr/>
        <w:tab/>
        <w:tab/>
        <w:tab/>
        <w:t>Kuala Lumpur City Centre</w:t>
      </w:r>
    </w:p>
    <w:p>
      <w:pPr>
        <w:pStyle w:val="BodyTextIndent"/>
        <w:tabs>
          <w:tab w:val="clear" w:pos="720"/>
          <w:tab w:val="left" w:pos="1260" w:leader="none"/>
        </w:tabs>
        <w:ind w:hanging="0" w:start="0" w:end="0"/>
        <w:jc w:val="both"/>
        <w:rPr/>
      </w:pPr>
      <w:r>
        <w:rPr/>
        <w:tab/>
        <w:tab/>
        <w:tab/>
        <w:t>50088 Kuala Lumpur</w:t>
      </w:r>
    </w:p>
    <w:p>
      <w:pPr>
        <w:pStyle w:val="BodyTextIndent"/>
        <w:tabs>
          <w:tab w:val="clear" w:pos="720"/>
          <w:tab w:val="left" w:pos="1260" w:leader="none"/>
        </w:tabs>
        <w:ind w:hanging="0" w:start="0" w:end="0"/>
        <w:jc w:val="both"/>
        <w:rPr/>
      </w:pPr>
      <w:r>
        <w:rPr/>
      </w:r>
    </w:p>
    <w:p>
      <w:pPr>
        <w:pStyle w:val="BodyTextIndent"/>
        <w:tabs>
          <w:tab w:val="clear" w:pos="720"/>
          <w:tab w:val="left" w:pos="1260" w:leader="none"/>
        </w:tabs>
        <w:ind w:hanging="0" w:start="0" w:end="0"/>
        <w:jc w:val="both"/>
        <w:rPr/>
      </w:pPr>
      <w:r>
        <w:rPr/>
        <w:tab/>
        <w:tab/>
        <w:tab/>
        <w:t>Attention: Vice President, Gas Business</w:t>
      </w:r>
    </w:p>
    <w:p>
      <w:pPr>
        <w:pStyle w:val="BodyTextIndent"/>
        <w:tabs>
          <w:tab w:val="clear" w:pos="720"/>
          <w:tab w:val="left" w:pos="1260" w:leader="none"/>
        </w:tabs>
        <w:ind w:hanging="0" w:start="0" w:end="0"/>
        <w:jc w:val="both"/>
        <w:rPr/>
      </w:pPr>
      <w:r>
        <w:rPr/>
        <w:tab/>
        <w:tab/>
        <w:tab/>
        <w:t>Telephone: 60-3- 2051-3838</w:t>
      </w:r>
    </w:p>
    <w:p>
      <w:pPr>
        <w:pStyle w:val="BodyTextIndent"/>
        <w:tabs>
          <w:tab w:val="clear" w:pos="720"/>
          <w:tab w:val="left" w:pos="1260" w:leader="none"/>
        </w:tabs>
        <w:ind w:hanging="0" w:start="0" w:end="0"/>
        <w:jc w:val="both"/>
        <w:rPr/>
      </w:pPr>
      <w:r>
        <w:rPr>
          <w:rFonts w:eastAsia="Arial"/>
        </w:rPr>
        <w:t xml:space="preserve"> </w:t>
      </w:r>
      <w:r>
        <w:rPr/>
        <w:tab/>
        <w:tab/>
        <w:tab/>
        <w:t xml:space="preserve">Telecopy: 60-3- 2051-2888 </w:t>
      </w:r>
    </w:p>
    <w:p>
      <w:pPr>
        <w:pStyle w:val="BodyTextIndent"/>
        <w:tabs>
          <w:tab w:val="clear" w:pos="720"/>
          <w:tab w:val="left" w:pos="1260" w:leader="none"/>
        </w:tabs>
        <w:ind w:hanging="0" w:start="0" w:end="0"/>
        <w:jc w:val="both"/>
        <w:rPr/>
      </w:pPr>
      <w:r>
        <w:rPr/>
      </w:r>
    </w:p>
    <w:p>
      <w:pPr>
        <w:pStyle w:val="BodyTextIndent"/>
        <w:tabs>
          <w:tab w:val="clear" w:pos="720"/>
          <w:tab w:val="left" w:pos="1260" w:leader="none"/>
        </w:tabs>
        <w:ind w:hanging="0" w:start="0" w:end="0"/>
        <w:jc w:val="both"/>
        <w:rPr/>
      </w:pPr>
      <w:r>
        <w:rPr/>
        <w:tab/>
      </w:r>
    </w:p>
    <w:p>
      <w:pPr>
        <w:pStyle w:val="BodyTextIndent"/>
        <w:numPr>
          <w:ilvl w:val="0"/>
          <w:numId w:val="1"/>
        </w:numPr>
        <w:tabs>
          <w:tab w:val="clear" w:pos="720"/>
          <w:tab w:val="left" w:pos="1260" w:leader="none"/>
        </w:tabs>
        <w:jc w:val="both"/>
        <w:rPr/>
      </w:pPr>
      <w:r>
        <w:rPr/>
        <w:t>This Agreement may be executed in counterparts, each of which when executed and delivered shall be an original, but all of which together shall be one and the same instrument.</w:t>
      </w:r>
    </w:p>
    <w:p>
      <w:pPr>
        <w:pStyle w:val="BodyTextIndent"/>
        <w:tabs>
          <w:tab w:val="clear" w:pos="720"/>
          <w:tab w:val="left" w:pos="1260" w:leader="none"/>
        </w:tabs>
        <w:jc w:val="both"/>
        <w:rPr/>
      </w:pPr>
      <w:r>
        <w:rPr/>
      </w:r>
    </w:p>
    <w:p>
      <w:pPr>
        <w:pStyle w:val="BodyTextIndent"/>
        <w:tabs>
          <w:tab w:val="clear" w:pos="720"/>
          <w:tab w:val="left" w:pos="1260" w:leader="none"/>
        </w:tabs>
        <w:jc w:val="both"/>
        <w:rPr/>
      </w:pPr>
      <w:r>
        <w:rPr/>
      </w:r>
    </w:p>
    <w:p>
      <w:pPr>
        <w:pStyle w:val="BodyTextIndent"/>
        <w:keepNext w:val="true"/>
        <w:keepLines/>
        <w:tabs>
          <w:tab w:val="clear" w:pos="720"/>
          <w:tab w:val="left" w:pos="1260" w:leader="none"/>
        </w:tabs>
        <w:ind w:hanging="0" w:start="0" w:end="0"/>
        <w:jc w:val="both"/>
        <w:rPr/>
      </w:pPr>
      <w:r>
        <w:rPr/>
        <w:t>IN WITNESS WHEREOF, the Parties have caused this Agreement to be executed by their duly authorized representatives effective as of the Effective Date.</w:t>
      </w:r>
    </w:p>
    <w:p>
      <w:pPr>
        <w:pStyle w:val="BodyTextIndent"/>
        <w:keepNext w:val="true"/>
        <w:keepLines/>
        <w:tabs>
          <w:tab w:val="clear" w:pos="720"/>
          <w:tab w:val="left" w:pos="1260" w:leader="none"/>
        </w:tabs>
        <w:ind w:hanging="0" w:start="0" w:end="0"/>
        <w:jc w:val="both"/>
        <w:rPr/>
      </w:pPr>
      <w:r>
        <w:rPr/>
      </w:r>
    </w:p>
    <w:p>
      <w:pPr>
        <w:pStyle w:val="BodyTextIndent"/>
        <w:keepNext w:val="true"/>
        <w:keepLines/>
        <w:tabs>
          <w:tab w:val="clear" w:pos="720"/>
          <w:tab w:val="left" w:pos="1260" w:leader="none"/>
        </w:tabs>
        <w:ind w:hanging="0" w:start="0" w:end="0"/>
        <w:jc w:val="both"/>
        <w:rPr/>
      </w:pPr>
      <w:r>
        <w:rPr/>
      </w:r>
    </w:p>
    <w:p>
      <w:pPr>
        <w:pStyle w:val="BodyTextIndent"/>
        <w:keepNext w:val="true"/>
        <w:keepLines/>
        <w:tabs>
          <w:tab w:val="clear" w:pos="720"/>
          <w:tab w:val="left" w:pos="1260" w:leader="none"/>
        </w:tabs>
        <w:ind w:hanging="0" w:start="0" w:end="0"/>
        <w:jc w:val="both"/>
        <w:rPr/>
      </w:pPr>
      <w:r>
        <w:rPr/>
        <w:t>PETROLIAM NASIONAL BERHAD</w:t>
        <w:tab/>
        <w:tab/>
        <w:tab/>
        <w:t>ENRON GLOBAL LNG LLC</w:t>
      </w:r>
    </w:p>
    <w:p>
      <w:pPr>
        <w:pStyle w:val="BodyTextIndent"/>
        <w:keepNext w:val="true"/>
        <w:keepLines/>
        <w:tabs>
          <w:tab w:val="clear" w:pos="720"/>
          <w:tab w:val="left" w:pos="1260" w:leader="none"/>
        </w:tabs>
        <w:ind w:hanging="0" w:start="0" w:end="0"/>
        <w:jc w:val="both"/>
        <w:rPr/>
      </w:pPr>
      <w:r>
        <w:rPr/>
      </w:r>
    </w:p>
    <w:p>
      <w:pPr>
        <w:pStyle w:val="BodyTextIndent"/>
        <w:keepNext w:val="true"/>
        <w:keepLines/>
        <w:tabs>
          <w:tab w:val="clear" w:pos="720"/>
          <w:tab w:val="left" w:pos="1260" w:leader="none"/>
        </w:tabs>
        <w:ind w:hanging="0" w:start="0" w:end="0"/>
        <w:jc w:val="both"/>
        <w:rPr/>
      </w:pPr>
      <w:r>
        <w:rPr/>
      </w:r>
    </w:p>
    <w:p>
      <w:pPr>
        <w:pStyle w:val="BodyTextIndent"/>
        <w:keepLines/>
        <w:tabs>
          <w:tab w:val="clear" w:pos="720"/>
          <w:tab w:val="left" w:pos="1260" w:leader="none"/>
        </w:tabs>
        <w:ind w:hanging="0" w:start="0" w:end="0"/>
        <w:jc w:val="both"/>
        <w:rPr/>
      </w:pPr>
      <w:r>
        <w:rPr/>
      </w:r>
    </w:p>
    <w:p>
      <w:pPr>
        <w:pStyle w:val="BodyTextIndent"/>
        <w:keepLines/>
        <w:tabs>
          <w:tab w:val="clear" w:pos="720"/>
          <w:tab w:val="left" w:pos="1260" w:leader="none"/>
        </w:tabs>
        <w:ind w:hanging="0" w:start="0" w:end="0"/>
        <w:jc w:val="both"/>
        <w:rPr/>
      </w:pPr>
      <w:r>
        <w:rPr/>
      </w:r>
    </w:p>
    <w:p>
      <w:pPr>
        <w:pStyle w:val="BodyTextIndent"/>
        <w:keepLines/>
        <w:tabs>
          <w:tab w:val="clear" w:pos="720"/>
          <w:tab w:val="left" w:pos="1260" w:leader="none"/>
        </w:tabs>
        <w:ind w:hanging="0" w:start="0" w:end="0"/>
        <w:jc w:val="both"/>
        <w:rPr/>
      </w:pPr>
      <w:r>
        <w:rPr/>
        <w:t>By: _____________________</w:t>
        <w:tab/>
        <w:tab/>
        <w:tab/>
        <w:t>By: ________________________</w:t>
      </w:r>
    </w:p>
    <w:p>
      <w:pPr>
        <w:pStyle w:val="BodyTextIndent"/>
        <w:keepLines/>
        <w:tabs>
          <w:tab w:val="clear" w:pos="720"/>
          <w:tab w:val="left" w:pos="1260" w:leader="none"/>
        </w:tabs>
        <w:ind w:hanging="0" w:start="0" w:end="0"/>
        <w:jc w:val="both"/>
        <w:rPr/>
      </w:pPr>
      <w:r>
        <w:rPr>
          <w:rFonts w:eastAsia="Arial"/>
        </w:rPr>
        <w:t xml:space="preserve">  </w:t>
      </w:r>
      <w:r>
        <w:rPr/>
        <w:t>Name:Muri Muhammad</w:t>
        <w:tab/>
        <w:tab/>
        <w:t xml:space="preserve"> </w:t>
        <w:tab/>
        <w:tab/>
        <w:t>Name: Clay Harris</w:t>
      </w:r>
    </w:p>
    <w:p>
      <w:pPr>
        <w:pStyle w:val="BodyTextIndent"/>
        <w:keepLines/>
        <w:tabs>
          <w:tab w:val="clear" w:pos="720"/>
          <w:tab w:val="left" w:pos="1260" w:leader="none"/>
        </w:tabs>
        <w:ind w:hanging="0" w:start="0" w:end="0"/>
        <w:jc w:val="both"/>
        <w:rPr/>
      </w:pPr>
      <w:r>
        <w:rPr>
          <w:rFonts w:eastAsia="Arial"/>
        </w:rPr>
        <w:t xml:space="preserve">  </w:t>
      </w:r>
      <w:r>
        <w:rPr/>
        <w:t>Title:   Vice President</w:t>
        <w:tab/>
        <w:tab/>
        <w:tab/>
        <w:tab/>
        <w:t xml:space="preserve">Title : </w:t>
        <w:tab/>
        <w:t>Vice President</w:t>
      </w:r>
    </w:p>
    <w:p>
      <w:pPr>
        <w:pStyle w:val="BodyTextIndent"/>
        <w:keepLines/>
        <w:tabs>
          <w:tab w:val="clear" w:pos="720"/>
          <w:tab w:val="left" w:pos="1260" w:leader="none"/>
        </w:tabs>
        <w:ind w:hanging="0" w:start="0" w:end="0"/>
        <w:jc w:val="both"/>
        <w:rPr/>
      </w:pPr>
      <w:r>
        <w:rPr>
          <w:rFonts w:eastAsia="Arial"/>
        </w:rPr>
        <w:t xml:space="preserve">             </w:t>
      </w:r>
      <w:r>
        <w:rPr/>
        <w:t>Gas Business</w:t>
        <w:tab/>
        <w:tab/>
        <w:tab/>
        <w:tab/>
        <w:tab/>
        <w:tab/>
        <w:t xml:space="preserve">Origination Wholesale </w:t>
      </w:r>
    </w:p>
    <w:p>
      <w:pPr>
        <w:pStyle w:val="BodyTextIndent"/>
        <w:keepLines/>
        <w:tabs>
          <w:tab w:val="clear" w:pos="720"/>
          <w:tab w:val="left" w:pos="1260" w:leader="none"/>
        </w:tabs>
        <w:ind w:hanging="0" w:start="0" w:end="0"/>
        <w:jc w:val="both"/>
        <w:rPr/>
      </w:pPr>
      <w:r>
        <w:rPr/>
        <w:tab/>
        <w:tab/>
        <w:tab/>
        <w:tab/>
        <w:tab/>
        <w:tab/>
        <w:tab/>
        <w:tab/>
        <w:t xml:space="preserve">Enron Global Markets  </w:t>
      </w:r>
    </w:p>
    <w:p>
      <w:pPr>
        <w:pStyle w:val="BodyTextIndent"/>
        <w:keepLines/>
        <w:tabs>
          <w:tab w:val="clear" w:pos="720"/>
          <w:tab w:val="left" w:pos="1260" w:leader="none"/>
        </w:tabs>
        <w:ind w:hanging="0" w:start="0" w:end="0"/>
        <w:rPr/>
      </w:pPr>
      <w:r>
        <w:rPr/>
      </w:r>
    </w:p>
    <w:sectPr>
      <w:headerReference w:type="default" r:id="rId2"/>
      <w:footerReference w:type="default" r:id="rId3"/>
      <w:type w:val="nextPage"/>
      <w:pgSz w:w="12240" w:h="15840"/>
      <w:pgMar w:left="1440" w:right="1440" w:gutter="0" w:header="720" w:top="1440" w:footer="720" w:bottom="15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810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23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lowerLetter"/>
      <w:lvlText w:val="(%1)"/>
      <w:lvlJc w:val="start"/>
      <w:pPr>
        <w:tabs>
          <w:tab w:val="num" w:pos="1260"/>
        </w:tabs>
        <w:ind w:start="1260" w:hanging="540"/>
      </w:pPr>
      <w:rPr/>
    </w:lvl>
  </w:abstractNum>
  <w:abstractNum w:abstractNumId="3">
    <w:lvl w:ilvl="0">
      <w:start w:val="1"/>
      <w:numFmt w:val="upperLetter"/>
      <w:lvlText w:val="(%1)"/>
      <w:lvlJc w:val="start"/>
      <w:pPr>
        <w:tabs>
          <w:tab w:val="num" w:pos="1080"/>
        </w:tabs>
        <w:ind w:start="108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BodyTextIndent2">
    <w:name w:val="Body Text Indent 2"/>
    <w:basedOn w:val="Normal"/>
    <w:qFormat/>
    <w:pPr>
      <w:tabs>
        <w:tab w:val="clear" w:pos="720"/>
        <w:tab w:val="left" w:pos="1260" w:leader="none"/>
      </w:tabs>
      <w:ind w:hanging="540" w:start="12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2001-02-23T01:54:00Z</dcterms:created>
  <dc:creator>cjuvier</dc:creator>
  <dc:description/>
  <dc:language>en-CA</dc:language>
  <cp:lastModifiedBy>mlee3</cp:lastModifiedBy>
  <cp:lastPrinted>2001-02-21T16:11:00Z</cp:lastPrinted>
  <dcterms:modified xsi:type="dcterms:W3CDTF">2001-02-23T02:01:00Z</dcterms:modified>
  <cp:revision>3</cp:revision>
  <dc:subject/>
  <dc:title>CONFIDENTIALITY AGREEMENT</dc:title>
</cp:coreProperties>
</file>