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PERC/ENA Chicago Area Power Development Program</w:t>
      </w:r>
    </w:p>
    <w:p>
      <w:pPr>
        <w:pStyle w:val="Normal"/>
        <w:rPr/>
      </w:pPr>
      <w:r>
        <w:rPr/>
      </w:r>
    </w:p>
    <w:p>
      <w:pPr>
        <w:pStyle w:val="Heading2"/>
        <w:ind w:firstLine="90" w:start="-90" w:end="0"/>
        <w:rPr/>
      </w:pPr>
      <w:r>
        <w:rPr>
          <w:u w:val="single"/>
        </w:rPr>
        <w:t>Draft Proposal:</w:t>
      </w:r>
      <w:r>
        <w:rPr/>
        <w:t xml:space="preserve"> ABB Turbine Purchase and Ongoing Development </w:t>
      </w:r>
    </w:p>
    <w:p>
      <w:pPr>
        <w:pStyle w:val="Normal"/>
        <w:rPr/>
      </w:pPr>
      <w:r>
        <w:rPr/>
      </w:r>
    </w:p>
    <w:p>
      <w:pPr>
        <w:pStyle w:val="Normal"/>
        <w:jc w:val="center"/>
        <w:rPr/>
      </w:pPr>
      <w:r>
        <w:rPr/>
        <w:t>June 22, 2000</w:t>
      </w:r>
    </w:p>
    <w:p>
      <w:pPr>
        <w:pStyle w:val="Normal"/>
        <w:rPr/>
      </w:pPr>
      <w:r>
        <w:rPr/>
      </w:r>
    </w:p>
    <w:p>
      <w:pPr>
        <w:pStyle w:val="Normal"/>
        <w:rPr/>
      </w:pPr>
      <w:r>
        <w:rPr/>
      </w:r>
    </w:p>
    <w:p>
      <w:pPr>
        <w:pStyle w:val="BodyText"/>
        <w:jc w:val="both"/>
        <w:rPr>
          <w:sz w:val="20"/>
        </w:rPr>
      </w:pPr>
      <w:r>
        <w:rPr>
          <w:sz w:val="20"/>
        </w:rPr>
        <w:t xml:space="preserve">The following is a summary of the issues we discussed today as a means of addressing the resolution of the above captioned items.  </w:t>
      </w:r>
      <w:r>
        <w:rPr>
          <w:sz w:val="20"/>
          <w:u w:val="single"/>
        </w:rPr>
        <w:t>This is a draft, non-binding, proposal subject to Enron senior management approval.</w:t>
      </w:r>
    </w:p>
    <w:p>
      <w:pPr>
        <w:pStyle w:val="Normal"/>
        <w:rPr>
          <w:sz w:val="20"/>
          <w:u w:val="single"/>
        </w:rPr>
      </w:pPr>
      <w:r>
        <w:rPr>
          <w:sz w:val="20"/>
          <w:u w:val="single"/>
        </w:rPr>
      </w:r>
    </w:p>
    <w:p>
      <w:pPr>
        <w:pStyle w:val="Normal"/>
        <w:rPr>
          <w:u w:val="single"/>
        </w:rPr>
      </w:pPr>
      <w:r>
        <w:rPr>
          <w:u w:val="single"/>
        </w:rPr>
      </w:r>
    </w:p>
    <w:p>
      <w:pPr>
        <w:pStyle w:val="Site"/>
        <w:numPr>
          <w:ilvl w:val="0"/>
          <w:numId w:val="2"/>
        </w:numPr>
        <w:ind w:hanging="0" w:start="0"/>
        <w:jc w:val="both"/>
        <w:rPr/>
      </w:pPr>
      <w:r>
        <w:rPr/>
        <w:t>Enron will acquire the ABB units at PERC’s contract cost of $56 million, and receive options on the Calumet and Torrence sites as further described below.</w:t>
      </w:r>
    </w:p>
    <w:p>
      <w:pPr>
        <w:pStyle w:val="Site"/>
        <w:numPr>
          <w:ilvl w:val="0"/>
          <w:numId w:val="0"/>
        </w:numPr>
        <w:ind w:hanging="360" w:start="360" w:end="0"/>
        <w:jc w:val="both"/>
        <w:rPr/>
      </w:pPr>
      <w:r>
        <w:rPr/>
      </w:r>
    </w:p>
    <w:p>
      <w:pPr>
        <w:pStyle w:val="Site"/>
        <w:numPr>
          <w:ilvl w:val="0"/>
          <w:numId w:val="2"/>
        </w:numPr>
        <w:ind w:hanging="0" w:start="0"/>
        <w:jc w:val="both"/>
        <w:rPr/>
      </w:pPr>
      <w:r>
        <w:rPr/>
        <w:t>PERC will engage ABB – and authorize Enron to negotiate with ABB on its behalf – to modify the turbine purchase agreement to mitigate various contract concerns and to assign the contract and warranties to Enron (affiliate tbn).</w:t>
      </w:r>
    </w:p>
    <w:p>
      <w:pPr>
        <w:pStyle w:val="Site"/>
        <w:numPr>
          <w:ilvl w:val="0"/>
          <w:numId w:val="0"/>
        </w:numPr>
        <w:ind w:hanging="0" w:start="0"/>
        <w:jc w:val="both"/>
        <w:rPr/>
      </w:pPr>
      <w:r>
        <w:rPr/>
      </w:r>
    </w:p>
    <w:p>
      <w:pPr>
        <w:pStyle w:val="Site"/>
        <w:numPr>
          <w:ilvl w:val="0"/>
          <w:numId w:val="2"/>
        </w:numPr>
        <w:ind w:hanging="0" w:start="0"/>
        <w:jc w:val="both"/>
        <w:rPr/>
      </w:pPr>
      <w:r>
        <w:rPr/>
        <w:t>Key contract changes that Enron will attempt to negotiate will include addressing VOC emissions that may not be satisfactorily addressed in the current contract, replacement-repair of equipment, and other performance related issues as well as modifications to the generator exciter to meet Ontario-Hydro specifications.</w:t>
      </w:r>
    </w:p>
    <w:p>
      <w:pPr>
        <w:pStyle w:val="Site"/>
        <w:numPr>
          <w:ilvl w:val="0"/>
          <w:numId w:val="0"/>
        </w:numPr>
        <w:ind w:hanging="0" w:start="0"/>
        <w:jc w:val="both"/>
        <w:rPr/>
      </w:pPr>
      <w:r>
        <w:rPr/>
      </w:r>
    </w:p>
    <w:p>
      <w:pPr>
        <w:pStyle w:val="Site"/>
        <w:numPr>
          <w:ilvl w:val="0"/>
          <w:numId w:val="3"/>
        </w:numPr>
        <w:jc w:val="both"/>
        <w:rPr/>
      </w:pPr>
      <w:r>
        <w:rPr/>
        <w:t>Enron will assume the contract terms from PERC – via assignment by ABB – without requiring indemnities from PERC as to final contract terms as negotiated with ABB.</w:t>
      </w:r>
    </w:p>
    <w:p>
      <w:pPr>
        <w:pStyle w:val="Site"/>
        <w:numPr>
          <w:ilvl w:val="0"/>
          <w:numId w:val="0"/>
        </w:numPr>
        <w:ind w:hanging="0" w:start="0"/>
        <w:rPr/>
      </w:pPr>
      <w:r>
        <w:rPr/>
      </w:r>
    </w:p>
    <w:p>
      <w:pPr>
        <w:pStyle w:val="Site"/>
        <w:numPr>
          <w:ilvl w:val="0"/>
          <w:numId w:val="2"/>
        </w:numPr>
        <w:ind w:hanging="0" w:start="0"/>
        <w:jc w:val="both"/>
        <w:rPr/>
      </w:pPr>
      <w:r>
        <w:rPr/>
        <w:t xml:space="preserve">PERC will authorize ENA to develop the Calumet and Torrence sites at Enron’s sole discretion and ongoing development expense in order to maximize the value of those sites through both an LM 6000 or ABB 11N2 development project, site sale, or otherwise. </w:t>
      </w:r>
    </w:p>
    <w:p>
      <w:pPr>
        <w:pStyle w:val="Site"/>
        <w:numPr>
          <w:ilvl w:val="0"/>
          <w:numId w:val="0"/>
        </w:numPr>
        <w:ind w:hanging="360" w:start="360" w:end="0"/>
        <w:jc w:val="both"/>
        <w:rPr/>
      </w:pPr>
      <w:r>
        <w:rPr/>
      </w:r>
    </w:p>
    <w:p>
      <w:pPr>
        <w:pStyle w:val="Site"/>
        <w:numPr>
          <w:ilvl w:val="0"/>
          <w:numId w:val="2"/>
        </w:numPr>
        <w:ind w:hanging="0" w:start="0"/>
        <w:jc w:val="both"/>
        <w:rPr/>
      </w:pPr>
      <w:r>
        <w:rPr/>
        <w:t>Enron will have the option – at no cost other than their discretionary ongoing development expenses – to acquire Calumet Power LLC and Torrence Power LLC (land, permits, etc.).  This includes the option to acquire the Torrence site from PGL for not more than $400,000 or other comparably valued and mutually agreeable lease or option terms.  The exercise price will be $1 million for the Calumet site and $100,000 for the Torrence site, and the option term for each shall be three years from July 1, 2000.  Enron will receive full environmental indemnities from PERC/PGL for the site(s).</w:t>
      </w:r>
    </w:p>
    <w:p>
      <w:pPr>
        <w:pStyle w:val="Site"/>
        <w:numPr>
          <w:ilvl w:val="0"/>
          <w:numId w:val="0"/>
        </w:numPr>
        <w:ind w:hanging="0" w:start="0"/>
        <w:jc w:val="both"/>
        <w:rPr/>
      </w:pPr>
      <w:r>
        <w:rPr/>
      </w:r>
    </w:p>
    <w:p>
      <w:pPr>
        <w:pStyle w:val="Site"/>
        <w:numPr>
          <w:ilvl w:val="0"/>
          <w:numId w:val="2"/>
        </w:numPr>
        <w:ind w:hanging="0" w:start="0"/>
        <w:jc w:val="both"/>
        <w:rPr/>
      </w:pPr>
      <w:r>
        <w:rPr/>
        <w:t>PERC shall retain the right to a 50% participation in Enron’s share of any power plant development or site sales agreements (or proceeds) that Enron decides to engage in during the option term, at Enron’s sole discretion, for the Calumet or Torrence sites.  If PERC exercises its right to participate, PERC shall share equally in Enron’s direct costs of developing and/or building (or selling) such project and ENA will not be required to pay the purchase option exercise price described above.</w:t>
      </w:r>
    </w:p>
    <w:p>
      <w:pPr>
        <w:pStyle w:val="Site"/>
        <w:numPr>
          <w:ilvl w:val="0"/>
          <w:numId w:val="0"/>
        </w:numPr>
        <w:ind w:hanging="0" w:start="0"/>
        <w:jc w:val="both"/>
        <w:rPr/>
      </w:pPr>
      <w:r>
        <w:rPr/>
      </w:r>
    </w:p>
    <w:p>
      <w:pPr>
        <w:pStyle w:val="Site"/>
        <w:numPr>
          <w:ilvl w:val="0"/>
          <w:numId w:val="0"/>
        </w:numPr>
        <w:ind w:hanging="0" w:start="360" w:end="0"/>
        <w:jc w:val="both"/>
        <w:rPr/>
      </w:pPr>
      <w:r>
        <w:rPr>
          <w:u w:val="single"/>
        </w:rPr>
        <w:t>Power Plant Project</w:t>
      </w:r>
      <w:r>
        <w:rPr/>
        <w:t xml:space="preserve"> - During the option term, if Enron (ENA) elects to build a power plant at either or both sites, ENA will provide PERC with project capital and operating data for the project.  PERC will be solely responsible for making its economic election to participate in that project based on the data provided.  ENA will provide notice to PERC of its intent to build the project and the estimated capital and operating data for a power project and PERC shall have a period of forty-five days from said date to elect to participate in the project.  </w:t>
      </w:r>
    </w:p>
    <w:p>
      <w:pPr>
        <w:pStyle w:val="Site"/>
        <w:numPr>
          <w:ilvl w:val="0"/>
          <w:numId w:val="0"/>
        </w:numPr>
        <w:ind w:hanging="0" w:start="0"/>
        <w:jc w:val="both"/>
        <w:rPr/>
      </w:pPr>
      <w:r>
        <w:rPr/>
      </w:r>
    </w:p>
    <w:p>
      <w:pPr>
        <w:pStyle w:val="Site"/>
        <w:numPr>
          <w:ilvl w:val="0"/>
          <w:numId w:val="0"/>
        </w:numPr>
        <w:ind w:hanging="0" w:start="360" w:end="0"/>
        <w:jc w:val="both"/>
        <w:rPr/>
      </w:pPr>
      <w:r>
        <w:rPr>
          <w:u w:val="single"/>
        </w:rPr>
        <w:t>Site Sales Option</w:t>
      </w:r>
      <w:r>
        <w:rPr/>
        <w:t xml:space="preserve"> - During the option term, if ENA elects to sell either or both sites, ENA will provide PERC with notice of its intent to do so and the price and general terms of the sales agreement.  PERC will have the right to participate in the sales proceeds on an equal basis with ENA, however PERC will share equally in ENA’s direct development expenses incurred by ENA.  PERC will have fourteen days from the notice by ENA to determine if it will participate in the site sale and shall be solely responsible for making such election based on the data provided.</w:t>
      </w:r>
    </w:p>
    <w:sectPr>
      <w:type w:val="nextPage"/>
      <w:pgSz w:w="12240" w:h="15840"/>
      <w:pgMar w:left="1260" w:right="1530" w:gutter="0" w:header="0" w:top="12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abstractNum w:abstractNumId="3">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u w:val="single"/>
    </w:rPr>
  </w:style>
  <w:style w:type="paragraph" w:styleId="Heading2">
    <w:name w:val="heading 2"/>
    <w:basedOn w:val="Normal"/>
    <w:next w:val="Normal"/>
    <w:qFormat/>
    <w:pPr>
      <w:keepNext w:val="true"/>
      <w:numPr>
        <w:ilvl w:val="1"/>
        <w:numId w:val="1"/>
      </w:numPr>
      <w:jc w:val="center"/>
      <w:outlineLvl w:val="1"/>
    </w:pPr>
    <w:rPr>
      <w:sz w:val="28"/>
    </w:rPr>
  </w:style>
  <w:style w:type="character" w:styleId="WW8Num1z0">
    <w:name w:val="WW8Num1z0"/>
    <w:qFormat/>
    <w:rPr>
      <w:rFonts w:ascii="Symbol" w:hAnsi="Symbol" w:cs="Symbol"/>
      <w:sz w:val="24"/>
    </w:rPr>
  </w:style>
  <w:style w:type="character" w:styleId="WW8Num2z0">
    <w:name w:val="WW8Num2z0"/>
    <w:qFormat/>
    <w:rPr>
      <w:rFonts w:ascii="Symbol" w:hAnsi="Symbol" w:cs="Symbol"/>
      <w:sz w:val="24"/>
    </w:rPr>
  </w:style>
  <w:style w:type="character" w:styleId="WW8Num3z0">
    <w:name w:val="WW8Num3z0"/>
    <w:qFormat/>
    <w:rPr>
      <w:rFonts w:ascii="Symbol" w:hAnsi="Symbol" w:cs="Symbo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te">
    <w:name w:val="Site"/>
    <w:basedOn w:val="Normal"/>
    <w:qFormat/>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2000-06-23T13:07:00Z</dcterms:created>
  <dc:creator>rsteven</dc:creator>
  <dc:description/>
  <dc:language>en-CA</dc:language>
  <cp:lastModifiedBy>rsteven</cp:lastModifiedBy>
  <cp:lastPrinted>2000-06-22T17:01:00Z</cp:lastPrinted>
  <dcterms:modified xsi:type="dcterms:W3CDTF">2000-06-23T13:07:00Z</dcterms:modified>
  <cp:revision>2</cp:revision>
  <dc:subject/>
  <dc:title>PERC/ENA Chicago Area Power Development Program</dc:title>
</cp:coreProperties>
</file>