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u w:val="none"/>
        </w:rPr>
      </w:pPr>
      <w:r>
        <w:rPr>
          <w:sz w:val="22"/>
          <w:u w:val="none"/>
        </w:rPr>
        <w:t>September 26, 2001</w:t>
      </w:r>
    </w:p>
    <w:p>
      <w:pPr>
        <w:pStyle w:val="Normal"/>
        <w:rPr>
          <w:sz w:val="22"/>
          <w:u w:val="none"/>
        </w:rPr>
      </w:pPr>
      <w:r>
        <w:rPr>
          <w:sz w:val="22"/>
          <w:u w:val="none"/>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Pemex Gas y Petroquimica Basica</w:t>
      </w:r>
    </w:p>
    <w:p>
      <w:pPr>
        <w:pStyle w:val="Normal"/>
        <w:rPr>
          <w:sz w:val="22"/>
        </w:rPr>
      </w:pPr>
      <w:r>
        <w:rPr>
          <w:sz w:val="22"/>
        </w:rPr>
        <w:t>Mr. Jorge Rojas</w:t>
      </w:r>
    </w:p>
    <w:p>
      <w:pPr>
        <w:pStyle w:val="Normal"/>
        <w:rPr>
          <w:sz w:val="22"/>
        </w:rPr>
      </w:pPr>
      <w:r>
        <w:rPr>
          <w:sz w:val="22"/>
        </w:rPr>
        <w:t>Av. Marina Nacional No. 329</w:t>
      </w:r>
    </w:p>
    <w:p>
      <w:pPr>
        <w:pStyle w:val="Normal"/>
        <w:rPr>
          <w:sz w:val="22"/>
        </w:rPr>
      </w:pPr>
      <w:r>
        <w:rPr>
          <w:sz w:val="22"/>
        </w:rPr>
        <w:t>Edificio B-1, Piso 9</w:t>
      </w:r>
    </w:p>
    <w:p>
      <w:pPr>
        <w:pStyle w:val="Normal"/>
        <w:rPr>
          <w:sz w:val="22"/>
        </w:rPr>
      </w:pPr>
      <w:r>
        <w:rPr>
          <w:sz w:val="22"/>
        </w:rPr>
        <w:t>Col. Huasteca</w:t>
      </w:r>
    </w:p>
    <w:p>
      <w:pPr>
        <w:pStyle w:val="Normal"/>
        <w:rPr>
          <w:sz w:val="22"/>
        </w:rPr>
      </w:pPr>
      <w:r>
        <w:rPr>
          <w:sz w:val="22"/>
        </w:rPr>
        <w:t>11311 Mexico, D.F.</w:t>
      </w:r>
    </w:p>
    <w:p>
      <w:pPr>
        <w:pStyle w:val="Normal"/>
        <w:rPr>
          <w:sz w:val="22"/>
        </w:rPr>
      </w:pPr>
      <w:r>
        <w:rPr>
          <w:sz w:val="22"/>
        </w:rPr>
      </w:r>
    </w:p>
    <w:p>
      <w:pPr>
        <w:pStyle w:val="Normal"/>
        <w:rPr>
          <w:sz w:val="22"/>
        </w:rPr>
      </w:pPr>
      <w:r>
        <w:rPr>
          <w:sz w:val="22"/>
        </w:rPr>
      </w:r>
    </w:p>
    <w:p>
      <w:pPr>
        <w:pStyle w:val="Normal"/>
        <w:rPr>
          <w:sz w:val="22"/>
        </w:rPr>
      </w:pPr>
      <w:r>
        <w:rPr>
          <w:sz w:val="22"/>
        </w:rPr>
        <w:t>Re:</w:t>
        <w:tab/>
        <w:t xml:space="preserve">Proposed Firm Transportation Service </w:t>
      </w:r>
    </w:p>
    <w:p>
      <w:pPr>
        <w:pStyle w:val="Normal"/>
        <w:rPr>
          <w:sz w:val="22"/>
        </w:rPr>
      </w:pPr>
      <w:r>
        <w:rPr>
          <w:sz w:val="22"/>
        </w:rPr>
      </w:r>
    </w:p>
    <w:p>
      <w:pPr>
        <w:pStyle w:val="Normal"/>
        <w:rPr>
          <w:sz w:val="22"/>
        </w:rPr>
      </w:pPr>
      <w:r>
        <w:rPr>
          <w:sz w:val="22"/>
        </w:rPr>
      </w:r>
    </w:p>
    <w:p>
      <w:pPr>
        <w:pStyle w:val="Normal"/>
        <w:rPr>
          <w:sz w:val="22"/>
        </w:rPr>
      </w:pPr>
      <w:r>
        <w:rPr>
          <w:sz w:val="22"/>
        </w:rPr>
        <w:t>Dear Jorge,</w:t>
      </w:r>
    </w:p>
    <w:p>
      <w:pPr>
        <w:pStyle w:val="Normal"/>
        <w:rPr>
          <w:sz w:val="22"/>
        </w:rPr>
      </w:pPr>
      <w:r>
        <w:rPr>
          <w:sz w:val="22"/>
        </w:rPr>
      </w:r>
    </w:p>
    <w:p>
      <w:pPr>
        <w:pStyle w:val="BodyText2"/>
        <w:rPr>
          <w:sz w:val="22"/>
        </w:rPr>
      </w:pPr>
      <w:r>
        <w:rPr>
          <w:sz w:val="22"/>
        </w:rPr>
        <w:t>This letter sets forth the proposed principle terms to be included in a firm natural gas transportation agreement between Northern Natural Gas Company (“NNG”) and MGI Supply, LTD (“MGI”).  This agreement will be for the purpose of transporting gas on the NNG system from various field area receipt points to the proposed NNG/TransPecos pipeline interconnect in Winkler County, Texas.</w:t>
      </w:r>
    </w:p>
    <w:p>
      <w:pPr>
        <w:pStyle w:val="Normal"/>
        <w:rPr>
          <w:sz w:val="22"/>
        </w:rPr>
      </w:pPr>
      <w:r>
        <w:rPr>
          <w:sz w:val="22"/>
        </w:rPr>
      </w:r>
    </w:p>
    <w:p>
      <w:pPr>
        <w:pStyle w:val="Normal"/>
        <w:rPr>
          <w:b/>
          <w:bCs/>
          <w:sz w:val="22"/>
        </w:rPr>
      </w:pPr>
      <w:r>
        <w:rPr>
          <w:b/>
          <w:bCs/>
          <w:sz w:val="22"/>
        </w:rPr>
        <w:t>Primary Receipt Points:</w:t>
      </w:r>
    </w:p>
    <w:p>
      <w:pPr>
        <w:pStyle w:val="Normal"/>
        <w:numPr>
          <w:ilvl w:val="0"/>
          <w:numId w:val="2"/>
        </w:numPr>
        <w:rPr>
          <w:sz w:val="22"/>
        </w:rPr>
      </w:pPr>
      <w:r>
        <w:rPr>
          <w:sz w:val="22"/>
        </w:rPr>
        <w:t>Receipt Points to be identified by MGI in Mids 1 – 6 in NNG’s field area</w:t>
      </w:r>
    </w:p>
    <w:p>
      <w:pPr>
        <w:pStyle w:val="Normal"/>
        <w:rPr>
          <w:sz w:val="22"/>
        </w:rPr>
      </w:pPr>
      <w:r>
        <w:rPr>
          <w:sz w:val="22"/>
        </w:rPr>
      </w:r>
    </w:p>
    <w:p>
      <w:pPr>
        <w:pStyle w:val="Normal"/>
        <w:rPr>
          <w:b/>
          <w:bCs/>
          <w:sz w:val="22"/>
        </w:rPr>
      </w:pPr>
      <w:r>
        <w:rPr>
          <w:b/>
          <w:bCs/>
          <w:sz w:val="22"/>
        </w:rPr>
        <w:t>Alternate Receipt Points:</w:t>
      </w:r>
    </w:p>
    <w:p>
      <w:pPr>
        <w:pStyle w:val="Normal"/>
        <w:numPr>
          <w:ilvl w:val="0"/>
          <w:numId w:val="2"/>
        </w:numPr>
        <w:rPr>
          <w:b/>
          <w:bCs/>
          <w:sz w:val="22"/>
        </w:rPr>
      </w:pPr>
      <w:r>
        <w:rPr>
          <w:sz w:val="22"/>
        </w:rPr>
        <w:t>All field area Receipt Points, defined as Mids 1-16B</w:t>
      </w:r>
    </w:p>
    <w:p>
      <w:pPr>
        <w:pStyle w:val="Normal"/>
        <w:rPr>
          <w:b/>
          <w:bCs/>
          <w:sz w:val="22"/>
        </w:rPr>
      </w:pPr>
      <w:r>
        <w:rPr>
          <w:b/>
          <w:bCs/>
          <w:sz w:val="22"/>
        </w:rPr>
      </w:r>
    </w:p>
    <w:p>
      <w:pPr>
        <w:pStyle w:val="Normal"/>
        <w:rPr>
          <w:b/>
          <w:bCs/>
          <w:sz w:val="22"/>
        </w:rPr>
      </w:pPr>
      <w:r>
        <w:rPr>
          <w:b/>
          <w:bCs/>
          <w:sz w:val="22"/>
        </w:rPr>
        <w:t>Primary Delivery Point:</w:t>
      </w:r>
    </w:p>
    <w:p>
      <w:pPr>
        <w:pStyle w:val="Normal"/>
        <w:numPr>
          <w:ilvl w:val="0"/>
          <w:numId w:val="2"/>
        </w:numPr>
        <w:rPr>
          <w:sz w:val="22"/>
        </w:rPr>
      </w:pPr>
      <w:r>
        <w:rPr>
          <w:sz w:val="22"/>
        </w:rPr>
        <w:t>Mid 4 field area interconnect between NNG and the proposed TransPecos Pipeline Project</w:t>
      </w:r>
    </w:p>
    <w:p>
      <w:pPr>
        <w:pStyle w:val="Normal"/>
        <w:rPr>
          <w:sz w:val="22"/>
        </w:rPr>
      </w:pPr>
      <w:r>
        <w:rPr>
          <w:sz w:val="22"/>
        </w:rPr>
      </w:r>
    </w:p>
    <w:p>
      <w:pPr>
        <w:pStyle w:val="Normal"/>
        <w:rPr>
          <w:b/>
          <w:bCs/>
          <w:sz w:val="22"/>
        </w:rPr>
      </w:pPr>
      <w:r>
        <w:rPr>
          <w:b/>
          <w:bCs/>
          <w:sz w:val="22"/>
        </w:rPr>
        <w:t>Service Type:</w:t>
      </w:r>
    </w:p>
    <w:p>
      <w:pPr>
        <w:pStyle w:val="Normal"/>
        <w:numPr>
          <w:ilvl w:val="0"/>
          <w:numId w:val="2"/>
        </w:numPr>
        <w:rPr>
          <w:sz w:val="22"/>
        </w:rPr>
      </w:pPr>
      <w:r>
        <w:rPr>
          <w:sz w:val="22"/>
        </w:rPr>
        <w:t>Firm  FT-A Rate Schedule</w:t>
      </w:r>
    </w:p>
    <w:p>
      <w:pPr>
        <w:pStyle w:val="Normal"/>
        <w:rPr>
          <w:sz w:val="22"/>
        </w:rPr>
      </w:pPr>
      <w:r>
        <w:rPr>
          <w:sz w:val="22"/>
        </w:rPr>
      </w:r>
    </w:p>
    <w:p>
      <w:pPr>
        <w:pStyle w:val="Normal"/>
        <w:rPr>
          <w:b/>
          <w:bCs/>
          <w:sz w:val="22"/>
        </w:rPr>
      </w:pPr>
      <w:r>
        <w:rPr>
          <w:b/>
          <w:bCs/>
          <w:sz w:val="22"/>
        </w:rPr>
        <w:t>Quantity\Term\Rates:</w:t>
      </w:r>
    </w:p>
    <w:p>
      <w:pPr>
        <w:pStyle w:val="Normal"/>
        <w:rPr>
          <w:b/>
          <w:bCs/>
          <w:sz w:val="22"/>
        </w:rPr>
      </w:pPr>
      <w:r>
        <w:rPr>
          <w:b/>
          <w:bCs/>
          <w:sz w:val="22"/>
        </w:rPr>
      </w:r>
    </w:p>
    <w:tbl>
      <w:tblPr>
        <w:tblW w:w="8748" w:type="dxa"/>
        <w:jc w:val="start"/>
        <w:tblInd w:w="0" w:type="dxa"/>
        <w:tblLayout w:type="fixed"/>
        <w:tblCellMar>
          <w:top w:w="0" w:type="dxa"/>
          <w:start w:w="108" w:type="dxa"/>
          <w:bottom w:w="0" w:type="dxa"/>
          <w:end w:w="108" w:type="dxa"/>
        </w:tblCellMar>
      </w:tblPr>
      <w:tblGrid>
        <w:gridCol w:w="648"/>
        <w:gridCol w:w="1980"/>
        <w:gridCol w:w="1440"/>
        <w:gridCol w:w="1620"/>
        <w:gridCol w:w="1800"/>
        <w:gridCol w:w="1260"/>
      </w:tblGrid>
      <w:tr>
        <w:trPr/>
        <w:tc>
          <w:tcPr>
            <w:tcW w:w="648" w:type="dxa"/>
            <w:tcBorders>
              <w:end w:val="single" w:sz="4" w:space="0" w:color="000000"/>
            </w:tcBorders>
          </w:tcPr>
          <w:p>
            <w:pPr>
              <w:pStyle w:val="Normal"/>
              <w:snapToGrid w:val="false"/>
              <w:jc w:val="center"/>
              <w:rPr>
                <w:b/>
                <w:bCs/>
                <w:sz w:val="22"/>
              </w:rPr>
            </w:pPr>
            <w:r>
              <w:rPr>
                <w:b/>
                <w:bCs/>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Contract Quantity (MMBtu/d)</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Term</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Demand Rate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Commodity Rate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Fuel</w:t>
            </w:r>
          </w:p>
        </w:tc>
      </w:tr>
      <w:tr>
        <w:trPr/>
        <w:tc>
          <w:tcPr>
            <w:tcW w:w="648" w:type="dxa"/>
            <w:tcBorders>
              <w:end w:val="single" w:sz="4" w:space="0" w:color="000000"/>
            </w:tcBorders>
          </w:tcPr>
          <w:p>
            <w:pPr>
              <w:pStyle w:val="Normal"/>
              <w:snapToGrid w:val="false"/>
              <w:jc w:val="center"/>
              <w:rPr>
                <w:b/>
                <w:bCs/>
                <w:sz w:val="22"/>
              </w:rPr>
            </w:pPr>
            <w:r>
              <w:rPr>
                <w:b/>
                <w:bCs/>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100,000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 Years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$.050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Min</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Tariff</w:t>
            </w:r>
          </w:p>
        </w:tc>
      </w:tr>
      <w:tr>
        <w:trPr/>
        <w:tc>
          <w:tcPr>
            <w:tcW w:w="648" w:type="dxa"/>
            <w:tcBorders>
              <w:end w:val="single" w:sz="4" w:space="0" w:color="000000"/>
            </w:tcBorders>
          </w:tcPr>
          <w:p>
            <w:pPr>
              <w:pStyle w:val="Normal"/>
              <w:snapToGrid w:val="false"/>
              <w:jc w:val="center"/>
              <w:rPr>
                <w:b/>
                <w:bCs/>
                <w:sz w:val="22"/>
              </w:rPr>
            </w:pPr>
            <w:r>
              <w:rPr>
                <w:b/>
                <w:bCs/>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150,000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 Years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$.045</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Min</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Tariff</w:t>
            </w:r>
          </w:p>
        </w:tc>
      </w:tr>
      <w:tr>
        <w:trPr/>
        <w:tc>
          <w:tcPr>
            <w:tcW w:w="648" w:type="dxa"/>
            <w:tcBorders>
              <w:end w:val="single" w:sz="4" w:space="0" w:color="000000"/>
            </w:tcBorders>
          </w:tcPr>
          <w:p>
            <w:pPr>
              <w:pStyle w:val="Normal"/>
              <w:snapToGrid w:val="false"/>
              <w:jc w:val="center"/>
              <w:rPr>
                <w:b/>
                <w:bCs/>
                <w:sz w:val="22"/>
              </w:rPr>
            </w:pPr>
            <w:r>
              <w:rPr>
                <w:b/>
                <w:bCs/>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100,000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10 Years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$.060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Min</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Tariff</w:t>
            </w:r>
          </w:p>
        </w:tc>
      </w:tr>
      <w:tr>
        <w:trPr/>
        <w:tc>
          <w:tcPr>
            <w:tcW w:w="648" w:type="dxa"/>
            <w:tcBorders>
              <w:end w:val="single" w:sz="4" w:space="0" w:color="000000"/>
            </w:tcBorders>
          </w:tcPr>
          <w:p>
            <w:pPr>
              <w:pStyle w:val="Normal"/>
              <w:snapToGrid w:val="false"/>
              <w:jc w:val="center"/>
              <w:rPr>
                <w:b/>
                <w:bCs/>
                <w:sz w:val="22"/>
              </w:rPr>
            </w:pPr>
            <w:r>
              <w:rPr>
                <w:b/>
                <w:bCs/>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150,000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10 Years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$.060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Min</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Tariff</w:t>
            </w:r>
          </w:p>
        </w:tc>
      </w:tr>
    </w:tbl>
    <w:p>
      <w:pPr>
        <w:sectPr>
          <w:headerReference w:type="default" r:id="rId2"/>
          <w:type w:val="nextPage"/>
          <w:pgSz w:w="12240" w:h="15840"/>
          <w:pgMar w:left="1728" w:right="1728" w:gutter="0" w:header="720" w:top="2592" w:footer="0" w:bottom="1440"/>
          <w:pgNumType w:fmt="decimal"/>
          <w:formProt w:val="false"/>
          <w:textDirection w:val="lrTb"/>
          <w:docGrid w:type="default" w:linePitch="360" w:charSpace="0"/>
        </w:sectPr>
        <w:pStyle w:val="Normal"/>
        <w:rPr>
          <w:b/>
          <w:bCs/>
          <w:sz w:val="22"/>
        </w:rPr>
      </w:pPr>
      <w:r>
        <w:rPr>
          <w:b/>
          <w:bCs/>
          <w:sz w:val="22"/>
        </w:rPr>
      </w:r>
    </w:p>
    <w:p>
      <w:pPr>
        <w:pStyle w:val="Heading1"/>
        <w:ind w:hanging="0" w:start="0"/>
        <w:rPr>
          <w:sz w:val="22"/>
          <w:u w:val="none"/>
        </w:rPr>
      </w:pPr>
      <w:r>
        <w:rPr>
          <w:sz w:val="22"/>
          <w:u w:val="none"/>
        </w:rPr>
        <w:t>September 20, 2001</w:t>
        <w:tab/>
        <w:tab/>
        <w:tab/>
        <w:tab/>
        <w:tab/>
        <w:tab/>
        <w:tab/>
        <w:tab/>
        <w:tab/>
        <w:t>Page 2</w:t>
      </w:r>
    </w:p>
    <w:p>
      <w:pPr>
        <w:pStyle w:val="Normal"/>
        <w:rPr>
          <w:sz w:val="22"/>
        </w:rPr>
      </w:pPr>
      <w:r>
        <w:rPr>
          <w:sz w:val="22"/>
        </w:rPr>
        <w:t>Pemex Gas y Petroquimica Basica</w:t>
      </w:r>
    </w:p>
    <w:p>
      <w:pPr>
        <w:pStyle w:val="Normal"/>
        <w:rPr>
          <w:sz w:val="22"/>
        </w:rPr>
      </w:pPr>
      <w:r>
        <w:rPr>
          <w:sz w:val="22"/>
        </w:rPr>
      </w:r>
    </w:p>
    <w:p>
      <w:pPr>
        <w:pStyle w:val="Normal"/>
        <w:rPr>
          <w:b/>
          <w:bCs/>
          <w:sz w:val="22"/>
        </w:rPr>
      </w:pPr>
      <w:r>
        <w:rPr>
          <w:b/>
          <w:bCs/>
          <w:sz w:val="22"/>
        </w:rPr>
        <w:t>Contract Commencement Date:</w:t>
      </w:r>
    </w:p>
    <w:p>
      <w:pPr>
        <w:pStyle w:val="BodyText"/>
        <w:jc w:val="both"/>
        <w:rPr>
          <w:sz w:val="22"/>
        </w:rPr>
      </w:pPr>
      <w:r>
        <w:rPr>
          <w:sz w:val="22"/>
        </w:rPr>
        <w:t xml:space="preserve">The commencement date of the contract will coincide with the commencement date of the Pemex Firm Natural Gas Transportation Service Agreement (FTSA) with TransPecos Pipeline.  The commencement date of the TransPecos FTSA is estimated to be no earlier than the first quarter of 2003.  </w:t>
      </w:r>
    </w:p>
    <w:p>
      <w:pPr>
        <w:pStyle w:val="Normal"/>
        <w:rPr>
          <w:sz w:val="22"/>
        </w:rPr>
      </w:pPr>
      <w:r>
        <w:rPr>
          <w:sz w:val="22"/>
        </w:rPr>
      </w:r>
    </w:p>
    <w:p>
      <w:pPr>
        <w:pStyle w:val="Normal"/>
        <w:rPr>
          <w:sz w:val="22"/>
        </w:rPr>
      </w:pPr>
      <w:r>
        <w:rPr>
          <w:sz w:val="22"/>
        </w:rPr>
      </w:r>
    </w:p>
    <w:p>
      <w:pPr>
        <w:pStyle w:val="Normal"/>
        <w:rPr>
          <w:b/>
          <w:bCs/>
          <w:sz w:val="22"/>
        </w:rPr>
      </w:pPr>
      <w:r>
        <w:rPr>
          <w:b/>
          <w:bCs/>
          <w:sz w:val="22"/>
        </w:rPr>
        <w:t>Other:</w:t>
      </w:r>
    </w:p>
    <w:p>
      <w:pPr>
        <w:pStyle w:val="Normal"/>
        <w:numPr>
          <w:ilvl w:val="0"/>
          <w:numId w:val="2"/>
        </w:numPr>
        <w:rPr>
          <w:sz w:val="22"/>
        </w:rPr>
      </w:pPr>
      <w:r>
        <w:rPr>
          <w:sz w:val="22"/>
        </w:rPr>
        <w:t xml:space="preserve">Any capital requirements will be the responsibility of NNG. </w:t>
      </w:r>
    </w:p>
    <w:p>
      <w:pPr>
        <w:pStyle w:val="Normal"/>
        <w:numPr>
          <w:ilvl w:val="0"/>
          <w:numId w:val="2"/>
        </w:numPr>
        <w:rPr>
          <w:sz w:val="22"/>
        </w:rPr>
      </w:pPr>
      <w:r>
        <w:rPr>
          <w:sz w:val="22"/>
        </w:rPr>
        <w:t xml:space="preserve">Request for  receipt and delivery point capacity is subject to available capacity. </w:t>
      </w:r>
    </w:p>
    <w:p>
      <w:pPr>
        <w:pStyle w:val="Normal"/>
        <w:rPr>
          <w:sz w:val="22"/>
        </w:rPr>
      </w:pPr>
      <w:r>
        <w:rPr>
          <w:sz w:val="22"/>
        </w:rPr>
      </w:r>
    </w:p>
    <w:p>
      <w:pPr>
        <w:pStyle w:val="Normal"/>
        <w:rPr>
          <w:sz w:val="22"/>
        </w:rPr>
      </w:pPr>
      <w:r>
        <w:rPr>
          <w:sz w:val="22"/>
        </w:rPr>
      </w:r>
    </w:p>
    <w:p>
      <w:pPr>
        <w:pStyle w:val="Normal"/>
        <w:rPr>
          <w:sz w:val="22"/>
        </w:rPr>
      </w:pPr>
      <w:r>
        <w:rPr>
          <w:sz w:val="22"/>
        </w:rPr>
        <w:t>This offer will remain in effect for a period beginning with the execution date of the Letter of Intent between Pemex and TransPecos Pipeline for firm transportation service and ending at such time that the final TransPecos Transportation Agreement is executed.  However, in no circumstances will this offer exceed a term of two months from the date of this letter.</w:t>
      </w:r>
    </w:p>
    <w:p>
      <w:pPr>
        <w:pStyle w:val="BodyText"/>
        <w:jc w:val="both"/>
        <w:rPr>
          <w:sz w:val="22"/>
        </w:rPr>
      </w:pPr>
      <w:r>
        <w:rPr>
          <w:sz w:val="22"/>
        </w:rPr>
      </w:r>
    </w:p>
    <w:p>
      <w:pPr>
        <w:pStyle w:val="BodyText"/>
        <w:jc w:val="both"/>
        <w:rPr>
          <w:sz w:val="22"/>
        </w:rPr>
      </w:pPr>
      <w:r>
        <w:rPr>
          <w:sz w:val="22"/>
        </w:rPr>
        <w:t>We appreciate the interest you have shown in acquiring transportation capacity on NNG, and look forward to your response to our proposal.  Please call if we can answer any question or be of any further assistance.</w:t>
      </w:r>
    </w:p>
    <w:p>
      <w:pPr>
        <w:pStyle w:val="BodyText"/>
        <w:rPr>
          <w:sz w:val="22"/>
        </w:rPr>
      </w:pPr>
      <w:r>
        <w:rPr>
          <w:sz w:val="22"/>
        </w:rPr>
      </w:r>
    </w:p>
    <w:p>
      <w:pPr>
        <w:pStyle w:val="BodyText"/>
        <w:rPr>
          <w:sz w:val="22"/>
        </w:rPr>
      </w:pPr>
      <w:r>
        <w:rPr>
          <w:sz w:val="22"/>
        </w:rPr>
        <w:t>Sincerely,</w:t>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t>Mike Stage</w:t>
      </w:r>
    </w:p>
    <w:p>
      <w:pPr>
        <w:pStyle w:val="BodyText"/>
        <w:rPr>
          <w:sz w:val="22"/>
        </w:rPr>
      </w:pPr>
      <w:r>
        <w:rPr>
          <w:sz w:val="22"/>
        </w:rPr>
        <w:t>Director - Business Development</w:t>
      </w:r>
    </w:p>
    <w:sectPr>
      <w:headerReference w:type="default" r:id="rId3"/>
      <w:headerReference w:type="first" r:id="rId4"/>
      <w:type w:val="nextPage"/>
      <w:pgSz w:w="12240" w:h="15840"/>
      <w:pgMar w:left="1800" w:right="1800" w:gutter="0" w:header="720" w:top="1728"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object w:dxaOrig="3014" w:dyaOrig="30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6pt;width:50.4pt;height:51.6pt;mso-wrap-distance-left:9.05pt;mso-wrap-distance-right:9.05pt;mso-position-horizontal-relative:text;mso-position-vertical-relative:text" filled="f" o:ole="">
          <v:imagedata r:id="rId2" o:title=""/>
          <w10:wrap type="topAndBottom"/>
        </v:shape>
        <o:OLEObject Type="Embed" ProgID="" ShapeID="ole_rId1" DrawAspect="Content" ObjectID="_1063180527" r:id="rId1"/>
      </w:object>
    </w:r>
    <w:r>
      <w:rPr/>
      <w:tab/>
      <w:tab/>
    </w:r>
    <w:r>
      <w:rPr>
        <w:rFonts w:cs="Arial" w:ascii="Arial" w:hAnsi="Arial"/>
        <w:b/>
        <w:bCs/>
      </w:rPr>
      <w:t xml:space="preserve">Northern Natural Gas </w:t>
    </w:r>
  </w:p>
  <w:p>
    <w:pPr>
      <w:pStyle w:val="Header"/>
      <w:rPr>
        <w:rFonts w:ascii="Arial" w:hAnsi="Arial" w:cs="Arial"/>
        <w:b/>
        <w:bCs/>
      </w:rPr>
    </w:pPr>
    <w:r>
      <w:rPr>
        <w:rFonts w:cs="Arial" w:ascii="Arial" w:hAnsi="Arial"/>
        <w:b/>
        <w:bCs/>
      </w:rPr>
      <w:tab/>
      <w:t xml:space="preserve">                                                                         Company</w:t>
    </w:r>
  </w:p>
  <w:p>
    <w:pPr>
      <w:pStyle w:val="Header"/>
      <w:rPr/>
    </w:pPr>
    <w:r>
      <w:rPr>
        <w:rFonts w:cs="Arial" w:ascii="Arial" w:hAnsi="Arial"/>
      </w:rPr>
      <w:tab/>
      <w:t xml:space="preserve">                                                                             </w:t>
    </w:r>
    <w:r>
      <w:rPr>
        <w:rFonts w:cs="Arial" w:ascii="Arial" w:hAnsi="Arial"/>
        <w:i/>
        <w:iCs/>
        <w:sz w:val="20"/>
      </w:rPr>
      <w:t>P. O. Box 1188</w:t>
    </w:r>
  </w:p>
  <w:p>
    <w:pPr>
      <w:pStyle w:val="Header"/>
      <w:rPr>
        <w:rFonts w:ascii="Arial" w:hAnsi="Arial" w:cs="Arial"/>
        <w:i/>
        <w:i/>
        <w:iCs/>
        <w:sz w:val="20"/>
      </w:rPr>
    </w:pPr>
    <w:r>
      <w:rPr>
        <w:rFonts w:cs="Arial" w:ascii="Arial" w:hAnsi="Arial"/>
        <w:i/>
        <w:iCs/>
        <w:sz w:val="20"/>
      </w:rPr>
      <w:tab/>
      <w:t xml:space="preserve">                                                                                                               Houston, Texas 77251-1188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
      <w:rPr/>
      <w:tab/>
      <w:tab/>
    </w:r>
    <w:r>
      <w:rPr>
        <w:rFonts w:cs="Arial" w:ascii="Arial" w:hAnsi="Arial"/>
        <w:b/>
        <w:bCs/>
      </w:rPr>
      <w:t xml:space="preserve">Northern Natural Gas </w:t>
    </w:r>
  </w:p>
  <w:p>
    <w:pPr>
      <w:pStyle w:val="Header"/>
      <w:rPr>
        <w:rFonts w:ascii="Arial" w:hAnsi="Arial" w:cs="Arial"/>
        <w:b/>
        <w:bCs/>
      </w:rPr>
    </w:pPr>
    <w:r>
      <w:rPr>
        <w:rFonts w:cs="Arial" w:ascii="Arial" w:hAnsi="Arial"/>
        <w:b/>
        <w:bCs/>
      </w:rPr>
      <w:tab/>
      <w:t xml:space="preserve">                                                                         Company</w:t>
    </w:r>
  </w:p>
  <w:p>
    <w:pPr>
      <w:pStyle w:val="Header"/>
      <w:rPr/>
    </w:pPr>
    <w:r>
      <w:rPr>
        <w:rFonts w:cs="Arial" w:ascii="Arial" w:hAnsi="Arial"/>
      </w:rPr>
      <w:tab/>
      <w:t xml:space="preserve">                                                                             </w:t>
    </w:r>
    <w:r>
      <w:rPr>
        <w:rFonts w:cs="Arial" w:ascii="Arial" w:hAnsi="Arial"/>
        <w:i/>
        <w:iCs/>
        <w:sz w:val="20"/>
      </w:rPr>
      <w:t>P. O. Box 1188</w:t>
    </w:r>
  </w:p>
  <w:p>
    <w:pPr>
      <w:pStyle w:val="Header"/>
      <w:rPr>
        <w:rFonts w:ascii="Arial" w:hAnsi="Arial" w:cs="Arial"/>
        <w:i/>
        <w:i/>
        <w:iCs/>
        <w:sz w:val="20"/>
      </w:rPr>
    </w:pPr>
    <w:r>
      <w:rPr>
        <w:rFonts w:cs="Arial" w:ascii="Arial" w:hAnsi="Arial"/>
        <w:i/>
        <w:iCs/>
        <w:sz w:val="20"/>
      </w:rPr>
      <w:tab/>
      <w:t xml:space="preserve">                                                                                                               Houston, Texas 77251-1188</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2001-09-26T12:46:00Z</dcterms:created>
  <dc:creator>michael stage</dc:creator>
  <dc:description/>
  <dc:language>en-CA</dc:language>
  <cp:lastModifiedBy>mstage</cp:lastModifiedBy>
  <cp:lastPrinted>2001-09-26T10:16:00Z</cp:lastPrinted>
  <dcterms:modified xsi:type="dcterms:W3CDTF">2001-09-26T20:11:00Z</dcterms:modified>
  <cp:revision>3</cp:revision>
  <dc:subject/>
  <dc:title>Hugoton Area Transport Proposal</dc:title>
</cp:coreProperties>
</file>