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u w:val="single"/>
        </w:rPr>
        <w:t>Areas of Operational Activity</w:t>
      </w:r>
      <w:r>
        <w:rPr/>
        <w:t>:</w:t>
      </w:r>
    </w:p>
    <w:p>
      <w:pPr>
        <w:pStyle w:val="Header"/>
        <w:tabs>
          <w:tab w:val="clear" w:pos="4320"/>
          <w:tab w:val="clear" w:pos="8640"/>
        </w:tabs>
        <w:rPr/>
      </w:pPr>
      <w:r>
        <w:rPr/>
      </w:r>
    </w:p>
    <w:p>
      <w:pPr>
        <w:pStyle w:val="Normal"/>
        <w:shd w:fill="C0C0C0" w:val="clear"/>
        <w:rPr>
          <w:b/>
          <w:bCs/>
        </w:rPr>
      </w:pPr>
      <w:r>
        <w:rPr>
          <w:b/>
          <w:bCs/>
        </w:rPr>
        <w:t>Trading / Power Procurement:</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shd w:fill="C0C0C0" w:val="clear"/>
        <w:rPr>
          <w:b/>
          <w:bCs/>
        </w:rPr>
      </w:pPr>
      <w:r>
        <w:rPr>
          <w:b/>
          <w:bCs/>
        </w:rPr>
        <w:t>Risk:</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rPr/>
            </w:pPr>
            <w:r>
              <w:rPr/>
              <w:t>Twice weekly DPR’s</w:t>
            </w:r>
          </w:p>
          <w:p>
            <w:pPr>
              <w:pStyle w:val="Normal"/>
              <w:rPr/>
            </w:pPr>
            <w:r>
              <w:rPr/>
              <w:t>Various requests from Estate Commercial, Legal, etc.</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All reports and valuations can be run out of Houston</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Samantha Law (Portland)</w:t>
            </w:r>
          </w:p>
          <w:p>
            <w:pPr>
              <w:pStyle w:val="Normal"/>
              <w:rPr/>
            </w:pPr>
            <w:r>
              <w:rPr/>
              <w:t>Tom Chapman (Houston)</w:t>
            </w:r>
          </w:p>
        </w:tc>
      </w:tr>
    </w:tbl>
    <w:p>
      <w:pPr>
        <w:pStyle w:val="Normal"/>
        <w:rPr/>
      </w:pPr>
      <w:r>
        <w:rPr/>
      </w:r>
    </w:p>
    <w:p>
      <w:pPr>
        <w:pStyle w:val="Header"/>
        <w:tabs>
          <w:tab w:val="clear" w:pos="4320"/>
          <w:tab w:val="clear" w:pos="8640"/>
        </w:tabs>
        <w:rPr/>
      </w:pPr>
      <w:r>
        <w:rPr/>
      </w:r>
    </w:p>
    <w:p>
      <w:pPr>
        <w:pStyle w:val="Normal"/>
        <w:shd w:fill="C0C0C0" w:val="clear"/>
        <w:rPr/>
      </w:pPr>
      <w:r>
        <w:rPr>
          <w:b/>
          <w:bCs/>
        </w:rPr>
        <w:t>Scheduling</w:t>
      </w:r>
      <w:r>
        <w:rPr/>
        <w:t>:</w:t>
      </w:r>
    </w:p>
    <w:p>
      <w:pPr>
        <w:pStyle w:val="Normal"/>
        <w:rPr/>
      </w:pPr>
      <w:r>
        <w:rPr/>
      </w:r>
    </w:p>
    <w:p>
      <w:pPr>
        <w:pStyle w:val="Normal"/>
        <w:rPr>
          <w:b/>
          <w:bCs/>
        </w:rPr>
      </w:pPr>
      <w:r>
        <w:rPr>
          <w:b/>
          <w:bCs/>
        </w:rPr>
        <w:t>California:</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ind w:start="360" w:end="0"/>
        <w:rPr/>
      </w:pPr>
      <w:r>
        <w:rPr/>
      </w:r>
    </w:p>
    <w:p>
      <w:pPr>
        <w:pStyle w:val="Normal"/>
        <w:rPr>
          <w:b/>
          <w:bCs/>
        </w:rPr>
      </w:pPr>
      <w:r>
        <w:rPr>
          <w:b/>
          <w:bCs/>
        </w:rPr>
        <w:t xml:space="preserve">NW / SW: </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ing1"/>
        <w:ind w:start="0" w:end="0"/>
        <w:rPr/>
      </w:pPr>
      <w:r>
        <w:rPr/>
        <w:t>Real-Time</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tabs>
          <w:tab w:val="clear" w:pos="4320"/>
          <w:tab w:val="clear" w:pos="8640"/>
        </w:tabs>
        <w:rPr>
          <w:b/>
          <w:bCs/>
        </w:rPr>
      </w:pPr>
      <w:r>
        <w:rPr>
          <w:b/>
          <w:bCs/>
        </w:rPr>
        <w:t>El Paso:</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rPr/>
      </w:pPr>
      <w:r>
        <w:rPr/>
      </w:r>
    </w:p>
    <w:p>
      <w:pPr>
        <w:pStyle w:val="Normal"/>
        <w:shd w:fill="C0C0C0" w:val="clear"/>
        <w:rPr>
          <w:b/>
          <w:bCs/>
        </w:rPr>
      </w:pPr>
      <w:r>
        <w:rPr>
          <w:b/>
          <w:bCs/>
        </w:rPr>
        <w:t>Settlements / Volume Management:</w:t>
      </w:r>
    </w:p>
    <w:p>
      <w:pPr>
        <w:pStyle w:val="Normal"/>
        <w:rPr>
          <w:b/>
          <w:bCs/>
        </w:rPr>
      </w:pPr>
      <w:r>
        <w:rPr>
          <w:b/>
          <w:bCs/>
        </w:rPr>
      </w:r>
    </w:p>
    <w:p>
      <w:pPr>
        <w:pStyle w:val="Heading1"/>
        <w:ind w:start="0" w:end="0"/>
        <w:rPr/>
      </w:pPr>
      <w:r>
        <w:rPr/>
        <w:t>California Scheduling Coordinator Responsibilities:</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rPr/>
      </w:pPr>
      <w:r>
        <w:rPr/>
      </w:r>
    </w:p>
    <w:p>
      <w:pPr>
        <w:pStyle w:val="Heading1"/>
        <w:ind w:start="0" w:end="0"/>
        <w:rPr/>
      </w:pPr>
      <w:r>
        <w:rPr/>
        <w:t>EPMI Wholesale Checkouts / Prior Period reconciliation’s</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pPr>
            <w:r>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ind w:start="720" w:end="0"/>
        <w:rPr/>
      </w:pPr>
      <w:r>
        <w:rPr/>
      </w:r>
    </w:p>
    <w:p>
      <w:pPr>
        <w:pStyle w:val="Normal"/>
        <w:rPr>
          <w:b/>
          <w:bCs/>
        </w:rPr>
      </w:pPr>
      <w:r>
        <w:rPr>
          <w:b/>
          <w:bCs/>
        </w:rPr>
      </w:r>
    </w:p>
    <w:p>
      <w:pPr>
        <w:pStyle w:val="Normal"/>
        <w:shd w:fill="C0C0C0" w:val="clear"/>
        <w:rPr>
          <w:b/>
          <w:bCs/>
        </w:rPr>
      </w:pPr>
      <w:r>
        <w:rPr>
          <w:b/>
          <w:bCs/>
        </w:rPr>
        <w:t>Local IT Infrastructure:</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Currently there are no IT resources left with the estate in the Portland office.  There is an individual who left Enron back in November and they are available to come back as a contractor until we determine where we are going and to assist with the transition.</w:t>
            </w:r>
          </w:p>
          <w:p>
            <w:pPr>
              <w:pStyle w:val="Normal"/>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t>Current List of Estate Resources as of 1/31/2002:</w:t>
      </w:r>
    </w:p>
    <w:p>
      <w:pPr>
        <w:pStyle w:val="Header"/>
        <w:tabs>
          <w:tab w:val="clear" w:pos="4320"/>
          <w:tab w:val="clear" w:pos="8640"/>
        </w:tabs>
        <w:rPr/>
      </w:pPr>
      <w:r>
        <w:rPr/>
      </w:r>
    </w:p>
    <w:tbl>
      <w:tblPr>
        <w:tblW w:w="5305" w:type="dxa"/>
        <w:jc w:val="start"/>
        <w:tblInd w:w="0" w:type="dxa"/>
        <w:tblLayout w:type="fixed"/>
        <w:tblCellMar>
          <w:top w:w="14" w:type="dxa"/>
          <w:start w:w="14" w:type="dxa"/>
          <w:bottom w:w="0" w:type="dxa"/>
          <w:end w:w="14" w:type="dxa"/>
        </w:tblCellMar>
      </w:tblPr>
      <w:tblGrid>
        <w:gridCol w:w="211"/>
        <w:gridCol w:w="894"/>
        <w:gridCol w:w="1213"/>
        <w:gridCol w:w="917"/>
        <w:gridCol w:w="2070"/>
      </w:tblGrid>
      <w:tr>
        <w:trPr>
          <w:trHeight w:val="510" w:hRule="atLeast"/>
        </w:trPr>
        <w:tc>
          <w:tcPr>
            <w:tcW w:w="211" w:type="dxa"/>
            <w:tcBorders/>
            <w:vAlign w:val="center"/>
          </w:tcPr>
          <w:p>
            <w:pPr>
              <w:pStyle w:val="Normal"/>
              <w:snapToGrid w:val="false"/>
              <w:jc w:val="center"/>
              <w:rPr>
                <w:rFonts w:ascii="Arial Narrow" w:hAnsi="Arial Narrow" w:eastAsia="Arial Unicode MS" w:cs="Arial"/>
                <w:b/>
                <w:bCs/>
                <w:i/>
                <w:i/>
                <w:iCs/>
                <w:sz w:val="20"/>
                <w:szCs w:val="20"/>
              </w:rPr>
            </w:pPr>
            <w:r>
              <w:rPr>
                <w:rFonts w:eastAsia="Arial Unicode MS" w:cs="Arial" w:ascii="Arial Narrow" w:hAnsi="Arial Narrow"/>
                <w:b/>
                <w:bCs/>
                <w:i/>
                <w:iCs/>
                <w:sz w:val="20"/>
                <w:szCs w:val="20"/>
              </w:rPr>
            </w:r>
          </w:p>
        </w:tc>
        <w:tc>
          <w:tcPr>
            <w:tcW w:w="8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Last Name</w:t>
            </w:r>
          </w:p>
        </w:tc>
        <w:tc>
          <w:tcPr>
            <w:tcW w:w="1213"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First Name</w:t>
            </w:r>
          </w:p>
        </w:tc>
        <w:tc>
          <w:tcPr>
            <w:tcW w:w="917"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Group</w:t>
            </w:r>
          </w:p>
        </w:tc>
        <w:tc>
          <w:tcPr>
            <w:tcW w:w="2070"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Job Code Description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w:t>
            </w:r>
          </w:p>
        </w:tc>
        <w:tc>
          <w:tcPr>
            <w:tcW w:w="894"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Alonso</w:t>
            </w:r>
          </w:p>
        </w:tc>
        <w:tc>
          <w:tcPr>
            <w:tcW w:w="1213"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Thomas</w:t>
            </w:r>
          </w:p>
        </w:tc>
        <w:tc>
          <w:tcPr>
            <w:tcW w:w="917" w:type="dxa"/>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w:t>
            </w:r>
          </w:p>
        </w:tc>
        <w:tc>
          <w:tcPr>
            <w:tcW w:w="89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Anderson</w:t>
            </w:r>
          </w:p>
        </w:tc>
        <w:tc>
          <w:tcPr>
            <w:tcW w:w="1213" w:type="dxa"/>
            <w:tcBorders>
              <w:top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Robert</w:t>
            </w:r>
          </w:p>
        </w:tc>
        <w:tc>
          <w:tcPr>
            <w:tcW w:w="917" w:type="dxa"/>
            <w:tcBorders>
              <w:top w:val="single" w:sz="4" w:space="0" w:color="000000"/>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Fundies</w:t>
            </w:r>
          </w:p>
        </w:tc>
        <w:tc>
          <w:tcPr>
            <w:tcW w:w="2070" w:type="dxa"/>
            <w:tcBorders>
              <w:top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Sr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Badeer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Robert</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Bishop</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Serena</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Scheduling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Blackburn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Jody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Blair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Christopher</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Brodbeck</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Kelly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Asset Dev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Bruce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2</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Buerkle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Cavanaugh</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Darren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Choi</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Paul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Clark</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Edmund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Research Origination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Coffing</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Timothy Andrew</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Deane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Ryan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2</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Driscoll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Michael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Senior Analyst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Elafandi</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Mohamed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Associate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Emmert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Caroline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VM</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Eriksson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Fredrik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Erwin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Kenton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Gen Counsel Asst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Fischer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Fillinger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Gilbert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Gray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Stanley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Engrg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Guzman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Real Time</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Hammond</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Donald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Engrg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Hrach</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April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Coord Admin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Jones</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Karen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Gen Counsel Asst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Kaufman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Paul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Gov't Affairs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VP Gov't Affairs</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Kearney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Julie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HR</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Manager HR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Law</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Samantha</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RAC</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Risk Mgmt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Mays</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Wayne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Sr Asset/Field Opns</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Motley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Matthew</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O'Neil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Murray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 xml:space="preserve">Sr. Director </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Page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Jonalan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Parquet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David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VP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Perry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Todd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Structuring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Purcell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Mike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Rasmussen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Dale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Counsel SR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 xml:space="preserve">Rance </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Susan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RAC</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Rawson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Lester</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Services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Sr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Rodriguez</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Grace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HR</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Admin Sr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Rosman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Stewart</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bl>
    <w:p>
      <w:pPr>
        <w:pStyle w:val="Normal"/>
        <w:rPr/>
      </w:pPr>
      <w:r>
        <w:rPr/>
      </w:r>
    </w:p>
    <w:tbl>
      <w:tblPr>
        <w:tblpPr w:vertAnchor="page" w:horzAnchor="margin" w:rightFromText="180" w:tblpX="0" w:tblpY="2341"/>
        <w:tblW w:w="5417" w:type="dxa"/>
        <w:jc w:val="start"/>
        <w:tblInd w:w="14" w:type="dxa"/>
        <w:tblLayout w:type="fixed"/>
        <w:tblCellMar>
          <w:top w:w="14" w:type="dxa"/>
          <w:start w:w="14" w:type="dxa"/>
          <w:bottom w:w="0" w:type="dxa"/>
          <w:end w:w="14" w:type="dxa"/>
        </w:tblCellMar>
      </w:tblPr>
      <w:tblGrid>
        <w:gridCol w:w="231"/>
        <w:gridCol w:w="1633"/>
        <w:gridCol w:w="653"/>
        <w:gridCol w:w="843"/>
        <w:gridCol w:w="2004"/>
        <w:gridCol w:w="53"/>
      </w:tblGrid>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43</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Russell</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Dean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Research Origination</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44</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Sarnowski</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Julie</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Fundies</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45</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Savage</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Gordon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Utility Risk Mgmt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46</w:t>
            </w:r>
          </w:p>
        </w:tc>
        <w:tc>
          <w:tcPr>
            <w:tcW w:w="1633" w:type="dxa"/>
            <w:tcBorders>
              <w:start w:val="single" w:sz="4" w:space="0" w:color="000000"/>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Schweiger</w:t>
            </w:r>
          </w:p>
        </w:tc>
        <w:tc>
          <w:tcPr>
            <w:tcW w:w="653" w:type="dxa"/>
            <w:tcBorders>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Richard</w:t>
            </w:r>
          </w:p>
        </w:tc>
        <w:tc>
          <w:tcPr>
            <w:tcW w:w="843" w:type="dxa"/>
            <w:tcBorders>
              <w:bottom w:val="single" w:sz="4" w:space="0" w:color="000000"/>
              <w:end w:val="single" w:sz="4" w:space="0" w:color="000000"/>
            </w:tcBorders>
            <w:shd w:fill="FFFF99" w:val="clear"/>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IT</w:t>
            </w:r>
          </w:p>
        </w:tc>
        <w:tc>
          <w:tcPr>
            <w:tcW w:w="2004" w:type="dxa"/>
            <w:tcBorders>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Spec SR IT HS</w:t>
            </w:r>
          </w:p>
        </w:tc>
        <w:tc>
          <w:tcPr>
            <w:tcW w:w="53" w:type="dxa"/>
            <w:tcBorders/>
            <w:shd w:fill="FFFF99" w:val="clear"/>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47</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Sheppard</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Kathryn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Admin II</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48</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Slaughter</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Jeffton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49</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Thompson</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Virginia</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VM</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50</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Wehn</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Samuel</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Sr Asset Dev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51</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Williams Jr.</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Asset/Field Opns</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52</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Zavala</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Cristina</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Sr Admin</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snapToGrid w:val="false"/>
              <w:jc w:val="end"/>
              <w:rPr>
                <w:rFonts w:ascii="Arial Narrow" w:hAnsi="Arial Narrow" w:eastAsia="Arial Unicode MS" w:cs="Arial"/>
                <w:b/>
                <w:bCs/>
                <w:i/>
                <w:i/>
                <w:iCs/>
                <w:sz w:val="20"/>
                <w:szCs w:val="20"/>
              </w:rPr>
            </w:pPr>
            <w:r>
              <w:rPr>
                <w:rFonts w:eastAsia="Arial Unicode MS" w:cs="Arial" w:ascii="Arial Narrow" w:hAnsi="Arial Narrow"/>
                <w:b/>
                <w:bCs/>
                <w:i/>
                <w:iCs/>
                <w:sz w:val="20"/>
                <w:szCs w:val="20"/>
              </w:rPr>
            </w:r>
          </w:p>
        </w:tc>
        <w:tc>
          <w:tcPr>
            <w:tcW w:w="1633" w:type="dxa"/>
            <w:tcBorders>
              <w:top w:val="single" w:sz="4" w:space="0" w:color="000000"/>
              <w:start w:val="single" w:sz="4" w:space="0" w:color="000000"/>
              <w:bottom w:val="single" w:sz="4" w:space="0" w:color="000000"/>
              <w:end w:val="single" w:sz="4" w:space="0" w:color="000000"/>
            </w:tcBorders>
            <w:shd w:fill="FFFF99" w:val="clear"/>
            <w:vAlign w:val="bottom"/>
          </w:tcPr>
          <w:p>
            <w:pPr>
              <w:pStyle w:val="Normal"/>
              <w:rPr>
                <w:rFonts w:ascii="Arial Narrow" w:hAnsi="Arial Narrow" w:cs="Arial"/>
                <w:sz w:val="20"/>
                <w:szCs w:val="20"/>
              </w:rPr>
            </w:pPr>
            <w:r>
              <w:rPr>
                <w:rFonts w:cs="Arial" w:ascii="Arial Narrow" w:hAnsi="Arial Narrow"/>
                <w:sz w:val="20"/>
                <w:szCs w:val="20"/>
              </w:rPr>
              <w:t>Terminating 1/31/02</w:t>
            </w:r>
          </w:p>
        </w:tc>
        <w:tc>
          <w:tcPr>
            <w:tcW w:w="653" w:type="dxa"/>
            <w:tcBorders>
              <w:top w:val="single" w:sz="4" w:space="0" w:color="000000"/>
              <w:bottom w:val="single" w:sz="4" w:space="0" w:color="000000"/>
              <w:end w:val="single" w:sz="4" w:space="0" w:color="000000"/>
            </w:tcBorders>
            <w:vAlign w:val="bottom"/>
          </w:tcPr>
          <w:p>
            <w:pPr>
              <w:pStyle w:val="Normal"/>
              <w:snapToGrid w:val="false"/>
              <w:rPr>
                <w:rFonts w:ascii="Arial Narrow" w:hAnsi="Arial Narrow" w:cs="Arial"/>
                <w:sz w:val="20"/>
                <w:szCs w:val="20"/>
              </w:rPr>
            </w:pPr>
            <w:r>
              <w:rPr>
                <w:rFonts w:cs="Arial" w:ascii="Arial Narrow" w:hAnsi="Arial Narrow"/>
                <w:sz w:val="20"/>
                <w:szCs w:val="20"/>
              </w:rPr>
            </w:r>
          </w:p>
        </w:tc>
        <w:tc>
          <w:tcPr>
            <w:tcW w:w="843" w:type="dxa"/>
            <w:tcBorders>
              <w:top w:val="single" w:sz="4" w:space="0" w:color="000000"/>
              <w:bottom w:val="single" w:sz="4" w:space="0" w:color="000000"/>
              <w:end w:val="single" w:sz="4" w:space="0" w:color="000000"/>
            </w:tcBorders>
            <w:vAlign w:val="bottom"/>
          </w:tcPr>
          <w:p>
            <w:pPr>
              <w:pStyle w:val="Normal"/>
              <w:snapToGrid w:val="false"/>
              <w:jc w:val="center"/>
              <w:rPr>
                <w:rFonts w:ascii="Arial Narrow" w:hAnsi="Arial Narrow" w:cs="Arial"/>
                <w:sz w:val="20"/>
                <w:szCs w:val="20"/>
              </w:rPr>
            </w:pPr>
            <w:r>
              <w:rPr>
                <w:rFonts w:cs="Arial" w:ascii="Arial Narrow" w:hAnsi="Arial Narrow"/>
                <w:sz w:val="20"/>
                <w:szCs w:val="20"/>
              </w:rPr>
            </w:r>
          </w:p>
        </w:tc>
        <w:tc>
          <w:tcPr>
            <w:tcW w:w="2004" w:type="dxa"/>
            <w:tcBorders>
              <w:top w:val="single" w:sz="4" w:space="0" w:color="000000"/>
              <w:bottom w:val="single" w:sz="4" w:space="0" w:color="000000"/>
              <w:end w:val="single" w:sz="4" w:space="0" w:color="000000"/>
            </w:tcBorders>
            <w:vAlign w:val="bottom"/>
          </w:tcPr>
          <w:p>
            <w:pPr>
              <w:pStyle w:val="Normal"/>
              <w:snapToGrid w:val="false"/>
              <w:rPr>
                <w:rFonts w:ascii="Arial Narrow" w:hAnsi="Arial Narrow" w:cs="Arial"/>
                <w:sz w:val="20"/>
                <w:szCs w:val="20"/>
              </w:rPr>
            </w:pPr>
            <w:r>
              <w:rPr>
                <w:rFonts w:cs="Arial" w:ascii="Arial Narrow" w:hAnsi="Arial Narrow"/>
                <w:sz w:val="20"/>
                <w:szCs w:val="20"/>
              </w:rPr>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bl>
    <w:p>
      <w:pPr>
        <w:pStyle w:val="Header"/>
        <w:tabs>
          <w:tab w:val="clear" w:pos="4320"/>
          <w:tab w:val="clear" w:pos="8640"/>
        </w:tabs>
        <w:rPr/>
      </w:pPr>
      <w:r>
        <w:rPr/>
      </w:r>
    </w:p>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Footer"/>
            <w:rPr/>
          </w:pPr>
          <w:r>
            <w:rPr/>
            <w:fldChar w:fldCharType="begin"/>
          </w:r>
          <w:r>
            <w:rPr/>
            <w:instrText xml:space="preserve"> FILENAME </w:instrText>
          </w:r>
          <w:r>
            <w:rPr/>
            <w:fldChar w:fldCharType="separate"/>
          </w:r>
          <w:r>
            <w:rPr/>
            <w:t>PDX_Activity_Post_Bankruptcy-6fbaa761145f889b9e4ad97228421f046291d27a4d274d1a92f6e33fe1a3df3f.doc</w:t>
          </w:r>
          <w:r>
            <w:rPr/>
            <w:fldChar w:fldCharType="end"/>
          </w:r>
        </w:p>
      </w:tc>
      <w:tc>
        <w:tcPr>
          <w:tcW w:w="367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tc>
      <w:tc>
        <w:tcPr>
          <w:tcW w:w="3672"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9:03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Estate Operations</w:t>
    </w:r>
  </w:p>
  <w:p>
    <w:pPr>
      <w:pStyle w:val="Header"/>
      <w:jc w:val="center"/>
      <w:rPr/>
    </w:pPr>
    <w:r>
      <w:rPr/>
      <w:t>For</w:t>
    </w:r>
  </w:p>
  <w:p>
    <w:pPr>
      <w:pStyle w:val="Header"/>
      <w:jc w:val="center"/>
      <w:rPr/>
    </w:pPr>
    <w:r>
      <w:rPr/>
      <w:t>West Desk Power (Portland Office)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2002-02-01T18:03:00Z</dcterms:created>
  <dc:creator>moneil</dc:creator>
  <dc:description/>
  <dc:language>en-CA</dc:language>
  <cp:lastModifiedBy>swhite</cp:lastModifiedBy>
  <dcterms:modified xsi:type="dcterms:W3CDTF">2002-02-01T18:03:00Z</dcterms:modified>
  <cp:revision>2</cp:revision>
  <dc:subject/>
  <dc:title>Area of operational activity:</dc:title>
</cp:coreProperties>
</file>