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960"/>
        <w:rPr/>
      </w:pPr>
      <w:r>
        <w:rPr/>
        <w:t>BEFORE THE PUBLIC UTILITIES COMMISSION</w:t>
        <w:br/>
        <w:t>OF THE STATE OF CALIFORNIA</w:t>
      </w:r>
    </w:p>
    <w:p>
      <w:pPr>
        <w:sectPr>
          <w:footerReference w:type="default" r:id="rId2"/>
          <w:type w:val="nextPage"/>
          <w:pgSz w:w="12240" w:h="15840"/>
          <w:pgMar w:left="1440" w:right="1440" w:gutter="0" w:header="0" w:top="1440" w:footer="432" w:bottom="1440"/>
          <w:pgNumType w:start="1" w:fmt="decimal"/>
          <w:formProt w:val="false"/>
          <w:textDirection w:val="lrTb"/>
          <w:docGrid w:type="default" w:linePitch="360" w:charSpace="0"/>
        </w:sectPr>
      </w:pP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EnvelopeReturn"/>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Heading"/>
        <w:spacing w:before="2000" w:after="1200"/>
        <w:rPr/>
      </w:pPr>
      <w:r>
        <w:rPr/>
        <w:t>COMMENT IN SUPPORT OF PROPOSED DECISION</w:t>
        <w:br/>
      </w:r>
    </w:p>
    <w:tbl>
      <w:tblPr>
        <w:tblW w:w="10350" w:type="dxa"/>
        <w:jc w:val="start"/>
        <w:tblInd w:w="108" w:type="dxa"/>
        <w:tblLayout w:type="fixed"/>
        <w:tblCellMar>
          <w:top w:w="0" w:type="dxa"/>
          <w:start w:w="108" w:type="dxa"/>
          <w:bottom w:w="0" w:type="dxa"/>
          <w:end w:w="108" w:type="dxa"/>
        </w:tblCellMar>
      </w:tblPr>
      <w:tblGrid>
        <w:gridCol w:w="4410"/>
        <w:gridCol w:w="5940"/>
      </w:tblGrid>
      <w:tr>
        <w:trPr>
          <w:trHeight w:val="2770" w:hRule="atLeast"/>
        </w:trPr>
        <w:tc>
          <w:tcPr>
            <w:tcW w:w="4410" w:type="dxa"/>
            <w:tcBorders/>
          </w:tcPr>
          <w:p>
            <w:pPr>
              <w:pStyle w:val="Signature"/>
              <w:snapToGrid w:val="fals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r>
          </w:p>
          <w:p>
            <w:pPr>
              <w:pStyle w:val="Signature"/>
              <w:ind w:start="0" w:end="0"/>
              <w:rPr/>
            </w:pPr>
            <w:r>
              <w:rPr/>
              <w:t>Dated: December 11, 2000</w:t>
            </w:r>
          </w:p>
        </w:tc>
        <w:tc>
          <w:tcPr>
            <w:tcW w:w="5940" w:type="dxa"/>
            <w:tcBorders/>
          </w:tcPr>
          <w:p>
            <w:pPr>
              <w:pStyle w:val="BodyText"/>
              <w:spacing w:lineRule="auto" w:line="240"/>
              <w:ind w:hanging="0" w:end="0"/>
              <w:rPr>
                <w:b/>
              </w:rPr>
            </w:pPr>
            <w:r>
              <w:rPr>
                <w:b/>
              </w:rPr>
              <w:t>THE UTILITY REFORM NETWORK</w:t>
              <w:br/>
              <w:t>AGLET CONSUMER ALLIANCE</w:t>
              <w:br/>
              <w:t>CITY OF BURBANK</w:t>
              <w:br/>
              <w:t>CITY OF GLENDALE</w:t>
              <w:br/>
              <w:t>CITY OF PASADENA</w:t>
              <w:br/>
              <w:t>IMPERIAL IRRIGATION DISTRICT</w:t>
              <w:br/>
              <w:t xml:space="preserve">LOS ANGELES DEPARTMENT OF WATER AND  </w:t>
            </w:r>
          </w:p>
          <w:p>
            <w:pPr>
              <w:pStyle w:val="BodyText"/>
              <w:spacing w:lineRule="auto" w:line="240"/>
              <w:ind w:hanging="0" w:end="0"/>
              <w:rPr>
                <w:b/>
              </w:rPr>
            </w:pPr>
            <w:r>
              <w:rPr>
                <w:b/>
              </w:rPr>
              <w:t xml:space="preserve">      </w:t>
            </w:r>
            <w:r>
              <w:rPr>
                <w:b/>
              </w:rPr>
              <w:t>POWER</w:t>
              <w:br/>
              <w:t>RELIANT ENERGY POWER GENERATION</w:t>
              <w:br/>
              <w:t xml:space="preserve">SOUTHERN CALIFORNIA GENERATION </w:t>
            </w:r>
          </w:p>
          <w:p>
            <w:pPr>
              <w:pStyle w:val="BodyText"/>
              <w:spacing w:lineRule="auto" w:line="240"/>
              <w:ind w:hanging="0" w:end="0"/>
              <w:rPr>
                <w:b/>
              </w:rPr>
            </w:pPr>
            <w:r>
              <w:rPr>
                <w:b/>
              </w:rPr>
              <w:t xml:space="preserve">      </w:t>
            </w:r>
            <w:r>
              <w:rPr>
                <w:b/>
              </w:rPr>
              <w:t>COALITION</w:t>
              <w:br/>
              <w:t xml:space="preserve">SOUTHERN CALIFORNIA UTILITY POWER  </w:t>
            </w:r>
          </w:p>
          <w:p>
            <w:pPr>
              <w:pStyle w:val="BodyText"/>
              <w:spacing w:lineRule="auto" w:line="240"/>
              <w:ind w:hanging="0" w:end="0"/>
              <w:rPr>
                <w:b/>
              </w:rPr>
            </w:pPr>
            <w:r>
              <w:rPr>
                <w:b/>
              </w:rPr>
              <w:t xml:space="preserve">      </w:t>
            </w:r>
            <w:r>
              <w:rPr>
                <w:b/>
              </w:rPr>
              <w:t>POOL</w:t>
              <w:br/>
              <w:t>WILLIAMS ENERGY SERVICES</w:t>
            </w:r>
          </w:p>
        </w:tc>
      </w:tr>
    </w:tbl>
    <w:p>
      <w:pPr>
        <w:pStyle w:val="BodyText"/>
        <w:rPr/>
      </w:pPr>
      <w:r>
        <w:rPr/>
      </w:r>
    </w:p>
    <w:p>
      <w:pPr>
        <w:pStyle w:val="Heading"/>
        <w:spacing w:before="0" w:after="720"/>
        <w:rPr/>
      </w:pPr>
      <w:r>
        <w:rPr/>
        <w:t>BEFORE THE PUBLIC UTILITIES COMMISSION</w:t>
        <w:br/>
        <w:t>OF THE STATE OF CALIFORNIA</w:t>
      </w:r>
    </w:p>
    <w:tbl>
      <w:tblPr>
        <w:tblW w:w="9360" w:type="dxa"/>
        <w:jc w:val="start"/>
        <w:tblInd w:w="110" w:type="dxa"/>
        <w:tblLayout w:type="fixed"/>
        <w:tblCellMar>
          <w:top w:w="0" w:type="dxa"/>
          <w:start w:w="110" w:type="dxa"/>
          <w:bottom w:w="0" w:type="dxa"/>
          <w:end w:w="110" w:type="dxa"/>
        </w:tblCellMar>
      </w:tblPr>
      <w:tblGrid>
        <w:gridCol w:w="5040"/>
        <w:gridCol w:w="4320"/>
      </w:tblGrid>
      <w:tr>
        <w:trPr/>
        <w:tc>
          <w:tcPr>
            <w:tcW w:w="5040" w:type="dxa"/>
            <w:tcBorders>
              <w:bottom w:val="single" w:sz="6" w:space="0" w:color="000000"/>
              <w:end w:val="single" w:sz="6" w:space="0" w:color="000000"/>
            </w:tcBorders>
          </w:tcPr>
          <w:p>
            <w:pPr>
              <w:pStyle w:val="Normal"/>
              <w:suppressAutoHyphens w:val="true"/>
              <w:spacing w:lineRule="auto" w:line="240" w:before="0" w:after="60"/>
              <w:rPr/>
            </w:pPr>
            <w:r>
              <w:rPr/>
              <w:t>Investigation on the Commission’s Own Motion to Consider the Costs and Benefits of Various Promising Revisions to the Regulatory and Market Structure Governing California’s Natural Gas Industry and to Report to the California Legislature on the Commission’s Findings.</w:t>
            </w:r>
          </w:p>
        </w:tc>
        <w:tc>
          <w:tcPr>
            <w:tcW w:w="4320" w:type="dxa"/>
            <w:tcBorders/>
          </w:tcPr>
          <w:p>
            <w:pPr>
              <w:pStyle w:val="Normal"/>
              <w:suppressAutoHyphens w:val="true"/>
              <w:spacing w:before="480" w:after="240"/>
              <w:jc w:val="center"/>
              <w:rPr/>
            </w:pPr>
            <w:r>
              <w:rPr/>
              <w:t>I.99-07-003</w:t>
            </w:r>
          </w:p>
        </w:tc>
      </w:tr>
    </w:tbl>
    <w:p>
      <w:pPr>
        <w:pStyle w:val="Subtitle"/>
        <w:spacing w:before="600" w:after="0"/>
        <w:rPr/>
      </w:pPr>
      <w:r>
        <w:rPr/>
        <w:t>COMMENT IN SUPPORT OF PROPOSED DECISION</w:t>
        <w:br/>
      </w:r>
    </w:p>
    <w:p>
      <w:pPr>
        <w:pStyle w:val="BodyText"/>
        <w:spacing w:before="0" w:after="240"/>
        <w:rPr/>
      </w:pPr>
      <w:r>
        <w:rPr/>
        <w:t xml:space="preserve">In accordance with Rule 77.2 of the Rules of Practice and Procedure of the California Public Utilities Commission (“CPUC”), this comment in support of the December 21, 2000 Proposed Decision of Commission Bilas in the captioned proceeding is respectfully submitted by the following parties:  </w:t>
      </w:r>
    </w:p>
    <w:p>
      <w:pPr>
        <w:pStyle w:val="Quote"/>
        <w:rPr/>
      </w:pPr>
      <w:r>
        <w:rPr/>
        <w:t>The Utility Reform Network</w:t>
        <w:br/>
        <w:t>Aglet Consumer Alliance</w:t>
        <w:br/>
        <w:t>City Of Burbank</w:t>
        <w:br/>
        <w:t>City Of Glendale</w:t>
        <w:br/>
        <w:t>City Of Pasadena</w:t>
        <w:br/>
        <w:t>Imperial Irrigation District</w:t>
        <w:br/>
        <w:t>Los Angeles Department Of Water And Power</w:t>
        <w:br/>
        <w:t>Reliant Energy Power Generation</w:t>
        <w:br/>
        <w:t>Southern California Generation Coalition</w:t>
        <w:br/>
        <w:t>Southern California Utility Power Pool</w:t>
        <w:br/>
        <w:t>Williams Energy Services.</w:t>
      </w:r>
    </w:p>
    <w:p>
      <w:pPr>
        <w:pStyle w:val="BlockText"/>
        <w:rPr/>
      </w:pPr>
      <w:r>
        <w:rPr/>
        <w:t>These parties were the signatories to the Post-Interim Settlement Agreement.</w:t>
      </w:r>
    </w:p>
    <w:p>
      <w:pPr>
        <w:pStyle w:val="BodyText"/>
        <w:rPr/>
      </w:pPr>
      <w:r>
        <w:rPr/>
        <w:t>The Post-Interim Settlement parties strongly support Commission Bilas’ Proposed Decision and urge the Commission to adopt the Proposed Decision, as currently scheduled, at the Commission’s next meeting on December 21, 2000.</w:t>
      </w:r>
      <w:r>
        <w:rPr>
          <w:rStyle w:val="FootnoteCharacters"/>
          <w:rStyle w:val="FootnoteReference"/>
        </w:rPr>
        <w:footnoteReference w:id="2"/>
      </w:r>
      <w:r>
        <w:rPr/>
        <w:t xml:space="preserve">  The Proposed Decision would approve important reforms that will benefit all Southern California Gas Company (“SoCalGas”) customers.  These reforms were originally proposed nearly a year ago in the December 27, 1999 Interim Settlement.   As Commission Bilas notes in his Proposed Decision: “The reforms herein have been delayed and need to be implemented quickly.”  Proposed Decision, at 118.  Prompt action on the Proposed Decision by the full Commission will permit prompt implementation of the important reforms approved in the Proposed Decision.</w:t>
      </w:r>
    </w:p>
    <w:p>
      <w:pPr>
        <w:pStyle w:val="BodyText"/>
        <w:rPr/>
      </w:pPr>
      <w:r>
        <w:rPr/>
        <w:t>Although the Proposed Decision does not adopt the Post-Interim Settlement in its entirety, the Post-Interim Settlement parties fully support the Proposed Decision.  The measures adopted by the Proposed Decision, taken in conjunction with recent developments in other proceedings, satisfactorily address most of the concerns of the parties.  First, the Proposed Decision adopts the Interim Settlement with only minor modifications.  Insofar as the Post-Interim Settlement fully incorporated the Interim Settlement as a major component, approval of the bulk of the Interim Settlement constitutes approval of a major portion of the Post-Interim Settlement.  Second, although the Proposed Decision rejects the Post-Interim Settlement proposal to remove Montebello from SoCalGas' rate base as of September of 1999, the Post-Interim Settlement parties had already agreed to the alternative treatment for Montebello costs proposed in the November 22, 2000 settlement filed in A.00-04-031.  Parties to the Post-Interim Settlement had agreed to amend the Post-Interim Settlement to be consistent with the Montebello settlement.</w:t>
      </w:r>
      <w:r>
        <w:rPr>
          <w:rStyle w:val="FootnoteCharacters"/>
          <w:rStyle w:val="FootnoteReference"/>
        </w:rPr>
        <w:footnoteReference w:id="3"/>
      </w:r>
      <w:r>
        <w:rPr/>
        <w:t xml:space="preserve">  Third, the Proposed Decision proposes to unbundle core interstate capacity, which was a key element of the Post-Interim Settlement.</w:t>
      </w:r>
      <w:r>
        <w:rPr>
          <w:rStyle w:val="FootnoteCharacters"/>
          <w:rStyle w:val="FootnoteReference"/>
        </w:rPr>
        <w:footnoteReference w:id="4"/>
      </w:r>
      <w:r>
        <w:rPr/>
        <w:t xml:space="preserve">  Fourth, while the Proposed Decision does not preclude intrastate backbone unbundling in the future, it does not impose such unbundling at this time.  Avoiding intrastate backbone unbundling was a key objective of the Post-Interim Settlement.  Thus, on balance, the Post-Interim Settlement parties find that Commissioner Bilas' Proposed Decision addresses our primary concerns and we whole-heartedly support adoption of  the Proposed Decision by the full Commission. </w:t>
      </w:r>
    </w:p>
    <w:p>
      <w:pPr>
        <w:pStyle w:val="BodyText"/>
        <w:rPr/>
      </w:pPr>
      <w:r>
        <w:rPr/>
        <w:t xml:space="preserve">The undersigned is authorized to execute and submit this comment on behalf of the Post-Interim Settlement parties listed above.  </w:t>
      </w:r>
    </w:p>
    <w:p>
      <w:pPr>
        <w:pStyle w:val="BodyText"/>
        <w:spacing w:before="0" w:after="240"/>
        <w:rPr/>
      </w:pPr>
      <w:r>
        <w:rPr/>
      </w:r>
    </w:p>
    <w:p>
      <w:pPr>
        <w:pStyle w:val="Signature"/>
        <w:rPr/>
      </w:pPr>
      <w:r>
        <w:rPr/>
        <w:t xml:space="preserve"> </w:t>
      </w:r>
      <w:r>
        <w:rPr/>
        <w:t>Respectfully submitted,</w:t>
        <w:br/>
        <w:br/>
        <w:br/>
        <w:br/>
        <w:t>__________________________________</w:t>
        <w:br/>
        <w:t>Marcel Hawiger</w:t>
        <w:br/>
        <w:t>THE UTILITY REFORM NETWORK (TURN)</w:t>
        <w:br/>
        <w:t>711 Van Ness Avenue</w:t>
        <w:br/>
        <w:t>San Francisco, California 94102</w:t>
        <w:br/>
        <w:t>Telephone: (415) 929-1132</w:t>
        <w:br/>
        <w:t>Facsimile:  (415) 929-8876</w:t>
        <w:br/>
        <w:t>E-mail: marcel@turn.org</w:t>
      </w:r>
    </w:p>
    <w:p>
      <w:pPr>
        <w:pStyle w:val="BodyText"/>
        <w:tabs>
          <w:tab w:val="clear" w:pos="720"/>
          <w:tab w:val="left" w:pos="4680" w:leader="none"/>
        </w:tabs>
        <w:spacing w:lineRule="auto" w:line="240"/>
        <w:ind w:hanging="4680" w:start="4680" w:end="0"/>
        <w:rPr>
          <w:b/>
        </w:rPr>
      </w:pPr>
      <w:r>
        <w:rPr/>
        <w:t>Dated:  December 11, 2000</w:t>
        <w:tab/>
      </w:r>
    </w:p>
    <w:p>
      <w:pPr>
        <w:sectPr>
          <w:footnotePr>
            <w:numFmt w:val="decimal"/>
          </w:footnotePr>
          <w:type w:val="continuous"/>
          <w:pgSz w:w="12240" w:h="15840"/>
          <w:pgMar w:left="1440" w:right="1440" w:gutter="0" w:header="0" w:top="1440" w:footer="432" w:bottom="1440"/>
          <w:formProt w:val="false"/>
          <w:textDirection w:val="lrTb"/>
          <w:docGrid w:type="default" w:linePitch="360" w:charSpace="0"/>
        </w:sectPr>
      </w:pPr>
    </w:p>
    <w:p>
      <w:pPr>
        <w:pStyle w:val="BodyText"/>
        <w:tabs>
          <w:tab w:val="clear" w:pos="720"/>
          <w:tab w:val="left" w:pos="4680" w:leader="none"/>
        </w:tabs>
        <w:spacing w:lineRule="auto" w:line="240"/>
        <w:ind w:hanging="4680" w:start="4680" w:end="0"/>
        <w:rPr>
          <w:b/>
        </w:rPr>
      </w:pPr>
      <w:r>
        <w:rPr>
          <w:b/>
        </w:rPr>
      </w:r>
    </w:p>
    <w:p>
      <w:pPr>
        <w:pStyle w:val="Normal"/>
        <w:jc w:val="center"/>
        <w:rPr>
          <w:b/>
          <w:u w:val="single"/>
        </w:rPr>
      </w:pPr>
      <w:r>
        <w:rPr>
          <w:b/>
          <w:u w:val="single"/>
        </w:rPr>
        <w:t>CERTIFICATE OF SERVICE</w:t>
      </w:r>
    </w:p>
    <w:p>
      <w:pPr>
        <w:pStyle w:val="Normal"/>
        <w:rPr/>
      </w:pPr>
      <w:r>
        <w:rPr/>
        <w:tab/>
        <w:t xml:space="preserve">I hereby certify that I have this day served a copy of the </w:t>
      </w:r>
      <w:r>
        <w:rPr>
          <w:b/>
        </w:rPr>
        <w:t>COMMENT IN SUPPORT OF PROPOSED DECISION</w:t>
      </w:r>
      <w:r>
        <w:rPr/>
        <w:t xml:space="preserve"> on the service list for </w:t>
      </w:r>
      <w:r>
        <w:rPr>
          <w:b/>
        </w:rPr>
        <w:t xml:space="preserve">I.99-07-003 </w:t>
      </w:r>
      <w:r>
        <w:rPr/>
        <w:t>by mailing a properly addressed copy by first-class mail with postage prepared to each party.</w:t>
      </w:r>
    </w:p>
    <w:p>
      <w:pPr>
        <w:pStyle w:val="Normal"/>
        <w:rPr/>
      </w:pPr>
      <w:r>
        <w:rPr/>
        <w:tab/>
        <w:t>Executed on December 11, 2000, at San Francisco, California.</w:t>
      </w:r>
    </w:p>
    <w:p>
      <w:pPr>
        <w:pStyle w:val="Normal"/>
        <w:spacing w:lineRule="auto" w:line="240" w:before="0" w:after="0"/>
        <w:rPr/>
      </w:pPr>
      <w:r>
        <w:rPr/>
      </w:r>
    </w:p>
    <w:p>
      <w:pPr>
        <w:pStyle w:val="Normal"/>
        <w:spacing w:lineRule="auto" w:line="240" w:before="0" w:after="0"/>
        <w:rPr/>
      </w:pPr>
      <w:r>
        <w:rPr/>
        <w:tab/>
        <w:tab/>
        <w:tab/>
        <w:tab/>
        <w:tab/>
        <w:tab/>
        <w:tab/>
        <w:tab/>
        <w:t>___________________________</w:t>
      </w:r>
    </w:p>
    <w:p>
      <w:pPr>
        <w:pStyle w:val="Normal"/>
        <w:spacing w:lineRule="auto" w:line="240" w:before="0" w:after="0"/>
        <w:rPr/>
      </w:pPr>
      <w:r>
        <w:rPr/>
        <w:tab/>
        <w:tab/>
        <w:tab/>
        <w:tab/>
        <w:tab/>
        <w:tab/>
        <w:tab/>
        <w:tab/>
        <w:t xml:space="preserve">              </w:t>
      </w:r>
    </w:p>
    <w:sectPr>
      <w:footerReference w:type="default" r:id="rId3"/>
      <w:footerReference w:type="first" r:id="rId4"/>
      <w:footnotePr>
        <w:numFmt w:val="decimal"/>
      </w:footnotePr>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t>#1089310v1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sz w:val="16"/>
      </w:rPr>
      <w:t>LA-1089310v1</w:t>
    </w:r>
    <w:r>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360" w:start="360" w:end="0"/>
        <w:rPr/>
      </w:pPr>
      <w:r>
        <w:rPr>
          <w:rStyle w:val="FootnoteCharacters"/>
        </w:rPr>
        <w:footnoteRef/>
      </w:r>
      <w:r>
        <w:rPr/>
        <w:tab/>
        <w:t xml:space="preserve">Attachment A hereto provides the Commission with suggestions for corrections, technical changes and clarifications to the Proposed Decision.  </w:t>
      </w:r>
    </w:p>
  </w:footnote>
  <w:footnote w:id="3">
    <w:p>
      <w:pPr>
        <w:pStyle w:val="FootnoteText"/>
        <w:spacing w:before="0" w:after="240"/>
        <w:ind w:hanging="360" w:start="360" w:end="0"/>
        <w:rPr/>
      </w:pPr>
      <w:r>
        <w:rPr>
          <w:rStyle w:val="FootnoteCharacters"/>
        </w:rPr>
        <w:footnoteRef/>
      </w:r>
      <w:r>
        <w:rPr/>
        <w:tab/>
        <w:t>See Settlement Agreement, § 4.4, p.12, footnote 5, filed November 22, 2000 in A.00-04-031.</w:t>
      </w:r>
    </w:p>
  </w:footnote>
  <w:footnote w:id="4">
    <w:p>
      <w:pPr>
        <w:pStyle w:val="FootnoteText"/>
        <w:spacing w:before="0" w:after="240"/>
        <w:ind w:hanging="360" w:start="360" w:end="0"/>
        <w:rPr/>
      </w:pPr>
      <w:r>
        <w:rPr>
          <w:rStyle w:val="FootnoteCharacters"/>
        </w:rPr>
        <w:footnoteRef/>
      </w:r>
      <w:r>
        <w:rPr/>
        <w:tab/>
        <w:t>The Proposed Decision combines elements from both the Post-Interim Settlement and the Comprehensive Settlement for allocating potential stranded costs from capacity unbundling.  The signatories to the Post-Interim Settlement find the proposed methodology acceptable.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u w:val="none"/>
        <w:b/>
        <w:rFonts w:ascii="Times New Roman Bold;Times New Roman" w:hAnsi="Times New Roman Bold;Times New Roman" w:cs="Times New Roman Bold;Times New Roman"/>
        <w:color w:val="000000"/>
      </w:rPr>
    </w:lvl>
    <w:lvl w:ilvl="1">
      <w:start w:val="1"/>
      <w:pStyle w:val="Heading2"/>
      <w:numFmt w:val="upperLetter"/>
      <w:lvlText w:val="%2."/>
      <w:lvlJc w:val="start"/>
      <w:pPr>
        <w:tabs>
          <w:tab w:val="num" w:pos="1440"/>
        </w:tabs>
        <w:ind w:start="1440" w:hanging="720"/>
      </w:pPr>
      <w:rPr>
        <w:sz w:val="24"/>
        <w:i w:val="false"/>
        <w:u w:val="none"/>
        <w:b/>
        <w:rFonts w:ascii="Times New Roman Bold;Times New Roman" w:hAnsi="Times New Roman Bold;Times New Roman" w:cs="Times New Roman Bold;Times New Roman"/>
      </w:rPr>
    </w:lvl>
    <w:lvl w:ilvl="2">
      <w:start w:val="1"/>
      <w:pStyle w:val="Heading3"/>
      <w:numFmt w:val="decimal"/>
      <w:lvlText w:val="%3."/>
      <w:lvlJc w:val="start"/>
      <w:pPr>
        <w:tabs>
          <w:tab w:val="num" w:pos="2160"/>
        </w:tabs>
        <w:ind w:start="2160" w:hanging="720"/>
      </w:pPr>
      <w:rPr>
        <w:sz w:val="24"/>
        <w:i w:val="false"/>
        <w:u w:val="none"/>
        <w:b/>
        <w:rFonts w:ascii="Times New Roman Bold;Times New Roman" w:hAnsi="Times New Roman Bold;Times New Roman" w:cs="Times New Roman Bold;Times New Roman"/>
        <w:color w:val="000000"/>
      </w:rPr>
    </w:lvl>
    <w:lvl w:ilvl="3">
      <w:start w:val="1"/>
      <w:pStyle w:val="Heading4"/>
      <w:numFmt w:val="lowerLetter"/>
      <w:lvlText w:val="%4."/>
      <w:lvlJc w:val="start"/>
      <w:pPr>
        <w:tabs>
          <w:tab w:val="num" w:pos="2880"/>
        </w:tabs>
        <w:ind w:start="2880" w:hanging="720"/>
      </w:pPr>
      <w:rPr>
        <w:sz w:val="24"/>
        <w:i w:val="false"/>
        <w:u w:val="none"/>
        <w:b/>
        <w:rFonts w:ascii="Times New Roman Bold;Times New Roman" w:hAnsi="Times New Roman Bold;Times New Roman" w:cs="Times New Roman Bold;Times New Roman"/>
        <w:color w:val="000000"/>
      </w:r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docVars>
    <w:docVar w:name="DocStamp_1_DocID" w:val="G:\DOCSOPEN\LA\JP078229\NC$M01!.DOC"/>
    <w:docVar w:name="DocStamp_1_IncludeDate" w:val="False"/>
    <w:docVar w:name="DocStamp_1_IncludeDraftText" w:val="False"/>
    <w:docVar w:name="DocStamp_1_IncludeTime" w:val="False"/>
    <w:docVar w:name="DocStamp_1_InsertDateAsField" w:val="False"/>
    <w:docVar w:name="DocStamp_1_TypeID" w:val="7"/>
    <w:docVar w:name="DocXToolsFileType" w:val="Word97"/>
    <w:docVar w:name="MPDocID" w:val="::ODMA\PCDOCS\LA\1089310\1"/>
    <w:docVar w:name="zzmpFixedCurScheme" w:val="ingStyles"/>
    <w:docVar w:name="zzmpFixedCurScheme_9.0" w:val="1HeadingStyl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lineRule="auto" w:line="240" w:before="0" w:after="480"/>
      <w:outlineLvl w:val="0"/>
    </w:pPr>
    <w:rPr>
      <w:rFonts w:ascii="Times New Roman Bold;Times New Roman" w:hAnsi="Times New Roman Bold;Times New Roman" w:cs="Times New Roman Bold;Times New Roman"/>
      <w:b/>
      <w:u w:val="single"/>
    </w:rPr>
  </w:style>
  <w:style w:type="paragraph" w:styleId="Heading2">
    <w:name w:val="heading 2"/>
    <w:basedOn w:val="Normal"/>
    <w:next w:val="Heading3"/>
    <w:qFormat/>
    <w:pPr>
      <w:keepNext w:val="true"/>
      <w:keepLines/>
      <w:numPr>
        <w:ilvl w:val="1"/>
        <w:numId w:val="1"/>
      </w:numPr>
      <w:spacing w:lineRule="auto" w:line="240" w:before="0" w:after="480"/>
      <w:outlineLvl w:val="1"/>
    </w:pPr>
    <w:rPr>
      <w:rFonts w:ascii="Times New Roman Bold;Times New Roman" w:hAnsi="Times New Roman Bold;Times New Roman" w:cs="Times New Roman Bold;Times New Roman"/>
      <w:b/>
    </w:rPr>
  </w:style>
  <w:style w:type="paragraph" w:styleId="Heading3">
    <w:name w:val="heading 3"/>
    <w:basedOn w:val="ListBullet31"/>
    <w:next w:val="BodyText"/>
    <w:qFormat/>
    <w:pPr>
      <w:keepNext w:val="true"/>
      <w:numPr>
        <w:ilvl w:val="2"/>
        <w:numId w:val="1"/>
      </w:numPr>
      <w:spacing w:lineRule="auto" w:line="240" w:before="0" w:after="480"/>
      <w:outlineLvl w:val="2"/>
    </w:pPr>
    <w:rPr>
      <w:rFonts w:ascii="Times New Roman Bold;Times New Roman" w:hAnsi="Times New Roman Bold;Times New Roman" w:cs="Times New Roman Bold;Times New Roman"/>
      <w:b/>
    </w:rPr>
  </w:style>
  <w:style w:type="paragraph" w:styleId="Heading4">
    <w:name w:val="heading 4"/>
    <w:basedOn w:val="Normal"/>
    <w:next w:val="Heading5"/>
    <w:qFormat/>
    <w:pPr>
      <w:keepNext w:val="true"/>
      <w:numPr>
        <w:ilvl w:val="3"/>
        <w:numId w:val="1"/>
      </w:numPr>
      <w:spacing w:lineRule="auto" w:line="240" w:before="0" w:after="480"/>
      <w:outlineLvl w:val="3"/>
    </w:pPr>
    <w:rPr>
      <w:rFonts w:ascii="Times New Roman Bold;Times New Roman" w:hAnsi="Times New Roman Bold;Times New Roman" w:cs="Times New Roman Bold;Times New Roman"/>
      <w:b/>
    </w:rPr>
  </w:style>
  <w:style w:type="paragraph" w:styleId="Heading5">
    <w:name w:val="heading 5"/>
    <w:basedOn w:val="Normal"/>
    <w:next w:val="Heading6"/>
    <w:qFormat/>
    <w:pPr>
      <w:spacing w:before="0" w:after="240"/>
      <w:outlineLvl w:val="4"/>
    </w:pPr>
    <w:rPr/>
  </w:style>
  <w:style w:type="paragraph" w:styleId="Heading6">
    <w:name w:val="heading 6"/>
    <w:basedOn w:val="Normal"/>
    <w:next w:val="Heading7"/>
    <w:qFormat/>
    <w:pPr>
      <w:spacing w:before="0" w:after="240"/>
      <w:outlineLvl w:val="5"/>
    </w:pPr>
    <w:rPr/>
  </w:style>
  <w:style w:type="paragraph" w:styleId="Heading7">
    <w:name w:val="heading 7"/>
    <w:basedOn w:val="Normal"/>
    <w:next w:val="Heading8"/>
    <w:qFormat/>
    <w:pPr>
      <w:spacing w:before="0" w:after="240"/>
      <w:outlineLvl w:val="6"/>
    </w:pPr>
    <w:rPr/>
  </w:style>
  <w:style w:type="paragraph" w:styleId="Heading8">
    <w:name w:val="heading 8"/>
    <w:basedOn w:val="Normal"/>
    <w:next w:val="Heading9"/>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Bold;Times New Roman" w:hAnsi="Times New Roman Bold;Times New Roman" w:cs="Times New Roman Bold;Times New Roman"/>
      <w:b/>
      <w:i w:val="false"/>
      <w:color w:val="000000"/>
      <w:sz w:val="24"/>
      <w:u w:val="none"/>
    </w:rPr>
  </w:style>
  <w:style w:type="character" w:styleId="WW8Num12z1">
    <w:name w:val="WW8Num12z1"/>
    <w:qFormat/>
    <w:rPr>
      <w:rFonts w:ascii="Times New Roman Bold;Times New Roman" w:hAnsi="Times New Roman Bold;Times New Roman" w:cs="Times New Roman Bold;Times New Roman"/>
      <w:b/>
      <w:i w:val="false"/>
      <w:sz w:val="24"/>
      <w:u w:val="non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jc w:val="center"/>
      <w:outlineLvl w:val="0"/>
    </w:pPr>
    <w:rPr>
      <w:rFonts w:ascii="Times New Roman Bold;Times New Roman" w:hAnsi="Times New Roman Bold;Times New Roman" w:cs="Times New Roman Bold;Times New Roman"/>
      <w:b/>
    </w:rPr>
  </w:style>
  <w:style w:type="paragraph" w:styleId="BodyText">
    <w:name w:val="Body Text"/>
    <w:basedOn w:val="Normal"/>
    <w:pPr>
      <w:spacing w:before="0" w:after="0"/>
      <w:ind w:firstLine="72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ListBullet31">
    <w:name w:val="List Bullet 31"/>
    <w:basedOn w:val="Normal"/>
    <w:qFormat/>
    <w:pPr>
      <w:numPr>
        <w:ilvl w:val="0"/>
        <w:numId w:val="8"/>
      </w:numPr>
      <w:tabs>
        <w:tab w:val="clear" w:pos="720"/>
      </w:tabs>
    </w:pPr>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360" w:start="360" w:end="0"/>
    </w:pPr>
    <w:rPr/>
  </w:style>
  <w:style w:type="paragraph" w:styleId="IndexHeading">
    <w:name w:val="index heading"/>
    <w:basedOn w:val="Normal"/>
    <w:next w:val="Index1"/>
    <w:pPr/>
    <w:rPr>
      <w:b/>
    </w:rPr>
  </w:style>
  <w:style w:type="paragraph" w:styleId="PlainText">
    <w:name w:val="Plain Text"/>
    <w:basedOn w:val="Normal"/>
    <w:qFormat/>
    <w:pPr/>
    <w:rPr/>
  </w:style>
  <w:style w:type="paragraph" w:styleId="Subtitle">
    <w:name w:val="Subtitle"/>
    <w:basedOn w:val="Normal"/>
    <w:next w:val="BodyText"/>
    <w:qFormat/>
    <w:pPr>
      <w:spacing w:before="600" w:after="480"/>
      <w:jc w:val="center"/>
      <w:outlineLvl w:val="1"/>
    </w:pPr>
    <w:rPr>
      <w:rFonts w:ascii="Times New Roman Bold;Times New Roman" w:hAnsi="Times New Roman Bold;Times New Roman" w:cs="Times New Roman Bold;Times New Roman"/>
      <w:b/>
    </w:rPr>
  </w:style>
  <w:style w:type="paragraph" w:styleId="Quote">
    <w:name w:val="Quote"/>
    <w:basedOn w:val="Normal"/>
    <w:next w:val="BodyText"/>
    <w:qFormat/>
    <w:pPr>
      <w:spacing w:lineRule="auto" w:line="240"/>
      <w:ind w:hanging="0" w:start="1440" w:end="1440"/>
    </w:pPr>
    <w:rPr/>
  </w:style>
  <w:style w:type="paragraph" w:styleId="BodyText2">
    <w:name w:val="Body Text 2"/>
    <w:basedOn w:val="Normal"/>
    <w:qFormat/>
    <w:pPr>
      <w:spacing w:before="0" w:after="0"/>
    </w:pPr>
    <w:rPr/>
  </w:style>
  <w:style w:type="paragraph" w:styleId="BodyText3">
    <w:name w:val="Body Text 3"/>
    <w:basedOn w:val="Normal"/>
    <w:qFormat/>
    <w:pPr>
      <w:spacing w:lineRule="auto" w:line="360"/>
    </w:pPr>
    <w:rPr/>
  </w:style>
  <w:style w:type="paragraph" w:styleId="BodyTextFirstIndent">
    <w:name w:val="Body Text First Indent"/>
    <w:basedOn w:val="Normal"/>
    <w:qFormat/>
    <w:pPr>
      <w:spacing w:before="0" w:after="0"/>
      <w:ind w:firstLine="1440" w:start="0" w:end="0"/>
    </w:pPr>
    <w:rPr/>
  </w:style>
  <w:style w:type="paragraph" w:styleId="BodyTextFirstIndent2">
    <w:name w:val="Body Text First Indent 2"/>
    <w:basedOn w:val="Normal"/>
    <w:qFormat/>
    <w:pPr>
      <w:spacing w:lineRule="auto" w:line="480"/>
      <w:ind w:firstLine="1440" w:start="0" w:end="0"/>
    </w:pPr>
    <w:rPr/>
  </w:style>
  <w:style w:type="paragraph" w:styleId="BodyTextIndent2">
    <w:name w:val="Body Text Indent 2"/>
    <w:basedOn w:val="Normal"/>
    <w:qFormat/>
    <w:pPr>
      <w:spacing w:lineRule="auto" w:line="480"/>
      <w:ind w:firstLine="720" w:start="1440" w:end="1440"/>
    </w:pPr>
    <w:rPr/>
  </w:style>
  <w:style w:type="paragraph" w:styleId="BodyTextIndent3">
    <w:name w:val="Body Text Indent 3"/>
    <w:basedOn w:val="Normal"/>
    <w:qFormat/>
    <w:pPr>
      <w:spacing w:lineRule="auto" w:line="240"/>
      <w:ind w:hanging="0" w:start="1440" w:end="1440"/>
    </w:pPr>
    <w:rPr/>
  </w:style>
  <w:style w:type="paragraph" w:styleId="Signature">
    <w:name w:val="Signature"/>
    <w:basedOn w:val="Normal"/>
    <w:pPr>
      <w:tabs>
        <w:tab w:val="clear" w:pos="720"/>
        <w:tab w:val="right" w:pos="9360" w:leader="underscore"/>
      </w:tabs>
      <w:spacing w:lineRule="auto" w:line="240" w:before="0" w:after="0"/>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BodyTextFirstIndent3">
    <w:name w:val="Body Text First Indent 3"/>
    <w:basedOn w:val="Normal"/>
    <w:qFormat/>
    <w:pPr>
      <w:spacing w:lineRule="auto" w:line="360"/>
      <w:ind w:firstLine="1440" w:start="0" w:end="0"/>
    </w:pPr>
    <w:rPr/>
  </w:style>
  <w:style w:type="paragraph" w:styleId="DocumentMap">
    <w:name w:val="Document Map"/>
    <w:basedOn w:val="Normal"/>
    <w:qFormat/>
    <w:pPr>
      <w:shd w:fill="000080" w:val="clear"/>
    </w:pPr>
    <w:rPr>
      <w:rFonts w:ascii="Tahoma" w:hAnsi="Tahoma" w:cs="Tahoma"/>
    </w:rPr>
  </w:style>
  <w:style w:type="paragraph" w:styleId="TOC2">
    <w:name w:val="toc 2"/>
    <w:basedOn w:val="Normal"/>
    <w:next w:val="BodyText"/>
    <w:pPr>
      <w:tabs>
        <w:tab w:val="clear" w:pos="720"/>
        <w:tab w:val="right" w:pos="9350" w:leader="dot"/>
      </w:tabs>
      <w:spacing w:lineRule="auto" w:line="240" w:before="120" w:after="0"/>
      <w:ind w:hanging="720" w:start="1440" w:end="0"/>
    </w:pPr>
    <w:rPr>
      <w:smallCaps/>
      <w:sz w:val="20"/>
      <w:lang w:val="en-CA" w:eastAsia="en-CA"/>
    </w:rPr>
  </w:style>
  <w:style w:type="paragraph" w:styleId="TOC1">
    <w:name w:val="toc 1"/>
    <w:basedOn w:val="Normal"/>
    <w:next w:val="BodyText"/>
    <w:pPr>
      <w:tabs>
        <w:tab w:val="left" w:pos="720" w:leader="none"/>
        <w:tab w:val="right" w:pos="9350" w:leader="dot"/>
      </w:tabs>
      <w:spacing w:before="120" w:after="120"/>
      <w:ind w:hanging="720" w:start="720" w:end="0"/>
    </w:pPr>
    <w:rPr>
      <w:b/>
      <w:caps/>
      <w:sz w:val="20"/>
      <w:lang w:val="en-CA" w:eastAsia="en-CA"/>
    </w:rPr>
  </w:style>
  <w:style w:type="paragraph" w:styleId="TOC3">
    <w:name w:val="toc 3"/>
    <w:basedOn w:val="Normal"/>
    <w:next w:val="Normal"/>
    <w:pPr>
      <w:tabs>
        <w:tab w:val="clear" w:pos="720"/>
        <w:tab w:val="right" w:pos="9350" w:leader="dot"/>
      </w:tabs>
      <w:spacing w:lineRule="auto" w:line="240" w:before="120" w:after="0"/>
      <w:ind w:hanging="720" w:start="2160" w:end="0"/>
    </w:pPr>
    <w:rPr>
      <w:i/>
      <w:color w:val="000000"/>
      <w:sz w:val="20"/>
      <w:lang w:val="en-CA" w:eastAsia="en-CA"/>
    </w:rPr>
  </w:style>
  <w:style w:type="paragraph" w:styleId="TOC4">
    <w:name w:val="toc 4"/>
    <w:basedOn w:val="Normal"/>
    <w:next w:val="Normal"/>
    <w:pPr>
      <w:spacing w:before="0" w:after="0"/>
      <w:ind w:hanging="0" w:start="720" w:end="0"/>
    </w:pPr>
    <w:rPr>
      <w:sz w:val="18"/>
    </w:rPr>
  </w:style>
  <w:style w:type="paragraph" w:styleId="TOC5">
    <w:name w:val="toc 5"/>
    <w:basedOn w:val="Normal"/>
    <w:next w:val="Normal"/>
    <w:pPr>
      <w:spacing w:before="0" w:after="0"/>
      <w:ind w:hanging="0" w:start="960" w:end="0"/>
    </w:pPr>
    <w:rPr>
      <w:sz w:val="18"/>
    </w:rPr>
  </w:style>
  <w:style w:type="paragraph" w:styleId="BlockText">
    <w:name w:val="Block Text"/>
    <w:basedOn w:val="Normal"/>
    <w:qFormat/>
    <w:pPr/>
    <w:rPr/>
  </w:style>
  <w:style w:type="paragraph" w:styleId="FootnoteText">
    <w:name w:val="footnote text"/>
    <w:basedOn w:val="Normal"/>
    <w:pPr>
      <w:tabs>
        <w:tab w:val="clear" w:pos="720"/>
        <w:tab w:val="left" w:pos="360" w:leader="none"/>
      </w:tabs>
      <w:spacing w:lineRule="auto" w:line="240"/>
      <w:ind w:hanging="720" w:start="720" w:end="0"/>
    </w:pPr>
    <w:rPr>
      <w:sz w:val="20"/>
    </w:rPr>
  </w:style>
  <w:style w:type="paragraph" w:styleId="CommentText">
    <w:name w:val="Comment Text"/>
    <w:basedOn w:val="Normal"/>
    <w:qFormat/>
    <w:pPr/>
    <w:rPr>
      <w:sz w:val="20"/>
    </w:rPr>
  </w:style>
  <w:style w:type="paragraph" w:styleId="ListBullet21">
    <w:name w:val="List Bullet 21"/>
    <w:basedOn w:val="Normal"/>
    <w:qFormat/>
    <w:pPr>
      <w:numPr>
        <w:ilvl w:val="0"/>
        <w:numId w:val="9"/>
      </w:numPr>
      <w:tabs>
        <w:tab w:val="clear" w:pos="720"/>
      </w:tabs>
      <w:spacing w:before="0" w:after="0"/>
    </w:pPr>
    <w:rPr/>
  </w:style>
  <w:style w:type="paragraph" w:styleId="SingleIndent">
    <w:name w:val="Single Indent"/>
    <w:basedOn w:val="BodyText"/>
    <w:qFormat/>
    <w:pPr>
      <w:spacing w:lineRule="auto" w:line="240" w:before="0" w:after="240"/>
      <w:ind w:hanging="0" w:start="1440" w:end="720"/>
    </w:pPr>
    <w:rPr/>
  </w:style>
  <w:style w:type="paragraph" w:styleId="Heading21">
    <w:name w:val="Heading 2]"/>
    <w:basedOn w:val="SingleIndent"/>
    <w:qFormat/>
    <w:pPr/>
    <w:rPr/>
  </w:style>
  <w:style w:type="paragraph" w:styleId="BodyTextIndent">
    <w:name w:val="Body Text Indent"/>
    <w:basedOn w:val="Normal"/>
    <w:pPr>
      <w:spacing w:before="0" w:after="120"/>
      <w:ind w:hanging="0" w:start="360" w:end="0"/>
    </w:pPr>
    <w:rPr/>
  </w:style>
  <w:style w:type="paragraph" w:styleId="Date">
    <w:name w:val="Date"/>
    <w:basedOn w:val="Normal"/>
    <w:next w:val="Normal"/>
    <w:qFormat/>
    <w:pPr/>
    <w:rPr/>
  </w:style>
  <w:style w:type="paragraph" w:styleId="EndnoteText">
    <w:name w:val="endnote text"/>
    <w:basedOn w:val="Normal"/>
    <w:pPr/>
    <w:rPr>
      <w:sz w:val="20"/>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TOC6">
    <w:name w:val="toc 6"/>
    <w:basedOn w:val="Normal"/>
    <w:next w:val="Normal"/>
    <w:pPr>
      <w:spacing w:before="0" w:after="0"/>
      <w:ind w:hanging="0" w:start="1200" w:end="0"/>
    </w:pPr>
    <w:rPr>
      <w:sz w:val="18"/>
    </w:rPr>
  </w:style>
  <w:style w:type="paragraph" w:styleId="TOC7">
    <w:name w:val="toc 7"/>
    <w:basedOn w:val="Normal"/>
    <w:next w:val="Normal"/>
    <w:pPr>
      <w:spacing w:before="0" w:after="0"/>
      <w:ind w:hanging="0" w:start="1440" w:end="0"/>
    </w:pPr>
    <w:rPr>
      <w:sz w:val="18"/>
    </w:rPr>
  </w:style>
  <w:style w:type="paragraph" w:styleId="TOC8">
    <w:name w:val="toc 8"/>
    <w:basedOn w:val="Normal"/>
    <w:next w:val="Normal"/>
    <w:pPr>
      <w:spacing w:before="0" w:after="0"/>
      <w:ind w:hanging="0" w:start="1680" w:end="0"/>
    </w:pPr>
    <w:rPr>
      <w:sz w:val="18"/>
    </w:rPr>
  </w:style>
  <w:style w:type="paragraph" w:styleId="TOC9">
    <w:name w:val="toc 9"/>
    <w:basedOn w:val="Normal"/>
    <w:next w:val="Normal"/>
    <w:pPr>
      <w:spacing w:before="0" w:after="0"/>
      <w:ind w:hanging="0" w:start="1920" w:end="0"/>
    </w:pPr>
    <w:rPr>
      <w:sz w:val="18"/>
    </w:rPr>
  </w:style>
  <w:style w:type="paragraph" w:styleId="BodyTextNoIndent">
    <w:name w:val="Body Text No Indent"/>
    <w:basedOn w:val="BodyText"/>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2000-12-11T17:31:00Z</dcterms:created>
  <dc:creator>Robin Beaman</dc:creator>
  <dc:description/>
  <dc:language>en-CA</dc:language>
  <cp:lastModifiedBy>Paul Evan Stein</cp:lastModifiedBy>
  <cp:lastPrinted>2000-12-11T11:42:00Z</cp:lastPrinted>
  <dcterms:modified xsi:type="dcterms:W3CDTF">2000-12-11T20:43:00Z</dcterms:modified>
  <cp:revision>3</cp:revision>
  <dc:subject/>
  <dc:title>  </dc:title>
</cp:coreProperties>
</file>