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sz w:val="24"/>
        </w:rPr>
      </w:pPr>
      <w:r>
        <w:rPr>
          <w:b w:val="false"/>
          <w:sz w:val="24"/>
        </w:rPr>
        <w:t>AGREEMENT FOR SERVICES</w:t>
      </w:r>
    </w:p>
    <w:p>
      <w:pPr>
        <w:pStyle w:val="Normal"/>
        <w:jc w:val="both"/>
        <w:rPr>
          <w:b/>
          <w:sz w:val="24"/>
        </w:rPr>
      </w:pPr>
      <w:r>
        <w:rPr>
          <w:b/>
          <w:sz w:val="24"/>
        </w:rPr>
      </w:r>
    </w:p>
    <w:p>
      <w:pPr>
        <w:pStyle w:val="Normal"/>
        <w:jc w:val="both"/>
        <w:rPr>
          <w:sz w:val="24"/>
        </w:rPr>
      </w:pPr>
      <w:r>
        <w:rPr>
          <w:sz w:val="24"/>
        </w:rPr>
        <w:t>This Agreement For Services (this “Agreement”) is made and entered into this 2nd day of November, 2000 (the “Effective Date”), by and between Enron North America Corp., a Delaware corporation (“Company”), and Project Consulting Services, Inc., a ___________ corporation and a consulting firm with local offices in Houston, Texas (“Consultant”).  Company and Consultant may be referred to herein collectively as the “Parties” and individually as a “Party.”</w:t>
      </w:r>
    </w:p>
    <w:p>
      <w:pPr>
        <w:pStyle w:val="Normal"/>
        <w:jc w:val="both"/>
        <w:rPr>
          <w:sz w:val="24"/>
        </w:rPr>
      </w:pPr>
      <w:r>
        <w:rPr>
          <w:sz w:val="24"/>
        </w:rPr>
      </w:r>
    </w:p>
    <w:p>
      <w:pPr>
        <w:pStyle w:val="Normal"/>
        <w:jc w:val="both"/>
        <w:rPr>
          <w:sz w:val="24"/>
        </w:rPr>
      </w:pPr>
      <w:r>
        <w:rPr>
          <w:sz w:val="24"/>
        </w:rPr>
        <w:t>In consideration of the mutual terms, conditions and covenants hereinafter set forth, the parties hereto agree as follows:</w:t>
      </w:r>
    </w:p>
    <w:p>
      <w:pPr>
        <w:pStyle w:val="Normal"/>
        <w:jc w:val="both"/>
        <w:rPr>
          <w:sz w:val="24"/>
        </w:rPr>
      </w:pPr>
      <w:r>
        <w:rPr>
          <w:sz w:val="24"/>
        </w:rPr>
      </w:r>
    </w:p>
    <w:p>
      <w:pPr>
        <w:pStyle w:val="Normal"/>
        <w:jc w:val="both"/>
        <w:rPr/>
      </w:pPr>
      <w:r>
        <w:rPr>
          <w:sz w:val="24"/>
        </w:rPr>
        <w:t>1.</w:t>
        <w:tab/>
      </w:r>
      <w:r>
        <w:rPr>
          <w:sz w:val="24"/>
          <w:u w:val="single"/>
        </w:rPr>
        <w:t>Agreement</w:t>
      </w:r>
      <w:r>
        <w:rPr>
          <w:sz w:val="24"/>
        </w:rPr>
        <w:t xml:space="preserve">.  Consultant agrees to perform and Company desires for Consultant to perform the following services described in this Section 1 and in any Work Orders issued in accordance with Section 3 and otherwise in accordance with the terms and conditions of this Agreement (the “Services”).  Consultant shall assist Company with Company’s evaluation, design, bidding, procurement, installation, hook-up, commissioning and operation of offshore flowlines, pipelines and subsea equipment.  In that regard, Consultant shall provide Company, on an “as requested basis,” experienced assessments, engineering analysis and results, cost and schedule estimates, project management services and other related services as they relate to the offshore oil/gas industry. </w:t>
      </w:r>
    </w:p>
    <w:p>
      <w:pPr>
        <w:pStyle w:val="Normal"/>
        <w:jc w:val="both"/>
        <w:rPr>
          <w:sz w:val="24"/>
        </w:rPr>
      </w:pPr>
      <w:r>
        <w:rPr>
          <w:sz w:val="24"/>
        </w:rPr>
      </w:r>
    </w:p>
    <w:p>
      <w:pPr>
        <w:pStyle w:val="Normal"/>
        <w:jc w:val="both"/>
        <w:rPr/>
      </w:pPr>
      <w:r>
        <w:rPr>
          <w:sz w:val="24"/>
        </w:rPr>
        <w:t>2.</w:t>
        <w:tab/>
      </w:r>
      <w:r>
        <w:rPr>
          <w:sz w:val="24"/>
          <w:u w:val="single"/>
        </w:rPr>
        <w:t>Term</w:t>
      </w:r>
      <w:r>
        <w:rPr>
          <w:sz w:val="24"/>
        </w:rPr>
        <w:t>.  This Agreement shall commence on the Effective Date and shall continue for a primary term ending on the first anniversary of the Effective Date, and shall thereafter continue in effect from month to month until terminated by either Party giving at least thirty (30) days prior written notice to the other Party; provided, however, that Consultant shall not have the right to terminate this Agreement until the Services have been completed to Company’s satisfaction pursuant to the terms of this Agreement.</w:t>
      </w:r>
    </w:p>
    <w:p>
      <w:pPr>
        <w:pStyle w:val="Normal"/>
        <w:jc w:val="both"/>
        <w:rPr>
          <w:sz w:val="24"/>
        </w:rPr>
      </w:pPr>
      <w:r>
        <w:rPr>
          <w:sz w:val="24"/>
        </w:rPr>
      </w:r>
    </w:p>
    <w:p>
      <w:pPr>
        <w:pStyle w:val="Normal"/>
        <w:jc w:val="both"/>
        <w:rPr/>
      </w:pPr>
      <w:r>
        <w:rPr>
          <w:sz w:val="24"/>
        </w:rPr>
        <w:t>3.</w:t>
        <w:tab/>
      </w:r>
      <w:r>
        <w:rPr>
          <w:sz w:val="24"/>
          <w:u w:val="single"/>
        </w:rPr>
        <w:t>Work Orders and Price</w:t>
      </w:r>
      <w:r>
        <w:rPr>
          <w:sz w:val="24"/>
        </w:rPr>
        <w:t>.  As consideration for the Services performed by Consultant, Company shall pay Consultant the amount initially agreed to pursuant to a verbal Work Order, and which shall be reduced to writing by Company using the form set forth in Exhibit “A” – Work Order, and delivered to Consultant prior to the date of first payment of compensation under such Work Order.  The rate for service to be used on in producing the Work Order shall be that set forth in Exhibit “B” – Price Schedule unless otherwise specified in the Work Order delivered by Company.  Payment for services shall be made in accordance with the provisions of paragraph “4” hereof.</w:t>
      </w:r>
    </w:p>
    <w:p>
      <w:pPr>
        <w:pStyle w:val="Normal"/>
        <w:jc w:val="both"/>
        <w:rPr>
          <w:sz w:val="24"/>
        </w:rPr>
      </w:pPr>
      <w:r>
        <w:rPr>
          <w:sz w:val="24"/>
        </w:rPr>
      </w:r>
    </w:p>
    <w:p>
      <w:pPr>
        <w:pStyle w:val="Normal"/>
        <w:jc w:val="both"/>
        <w:rPr/>
      </w:pPr>
      <w:r>
        <w:rPr>
          <w:sz w:val="24"/>
        </w:rPr>
        <w:t>4.</w:t>
        <w:tab/>
      </w:r>
      <w:r>
        <w:rPr>
          <w:sz w:val="24"/>
          <w:u w:val="single"/>
        </w:rPr>
        <w:t>General Payment Conditions</w:t>
      </w:r>
      <w:r>
        <w:rPr>
          <w:sz w:val="24"/>
        </w:rPr>
        <w:t>.</w:t>
      </w:r>
    </w:p>
    <w:p>
      <w:pPr>
        <w:pStyle w:val="Normal"/>
        <w:jc w:val="both"/>
        <w:rPr>
          <w:sz w:val="24"/>
        </w:rPr>
      </w:pPr>
      <w:r>
        <w:rPr>
          <w:sz w:val="24"/>
        </w:rPr>
      </w:r>
    </w:p>
    <w:p>
      <w:pPr>
        <w:pStyle w:val="Normal"/>
        <w:numPr>
          <w:ilvl w:val="0"/>
          <w:numId w:val="3"/>
        </w:numPr>
        <w:jc w:val="both"/>
        <w:rPr>
          <w:sz w:val="24"/>
        </w:rPr>
      </w:pPr>
      <w:r>
        <w:rPr>
          <w:sz w:val="24"/>
        </w:rPr>
        <w:t xml:space="preserve">No more than twice each month following commencement of the Services, Consultant shall prepare an invoice for the amount accrued to Consultant for Services satisfactorily completed during the period covered by such invoice.  All invoices, with supporting data, shall be sent as set forth in the appropriate Work Order, as applicable.  Upon approval of such invoice, and subject to the further provisions hereof, Company shall pay Consultant the amount accrued as shown by the invoice, less any amounts reflecting payment made on previous invoices. </w:t>
      </w:r>
    </w:p>
    <w:p>
      <w:pPr>
        <w:pStyle w:val="Normal"/>
        <w:jc w:val="both"/>
        <w:rPr>
          <w:sz w:val="24"/>
        </w:rPr>
      </w:pPr>
      <w:r>
        <w:rPr>
          <w:sz w:val="24"/>
        </w:rPr>
      </w:r>
    </w:p>
    <w:p>
      <w:pPr>
        <w:pStyle w:val="Normal"/>
        <w:numPr>
          <w:ilvl w:val="0"/>
          <w:numId w:val="3"/>
        </w:numPr>
        <w:jc w:val="both"/>
        <w:rPr>
          <w:sz w:val="24"/>
        </w:rPr>
      </w:pPr>
      <w:r>
        <w:rPr>
          <w:sz w:val="24"/>
        </w:rPr>
        <w:t>In the event Company disputes the amount or content of any invoice, Company shall not be responsible for payment of such invoice or portion of such invoice that is in dispute, until such time as the dispute is resolved.</w:t>
      </w:r>
    </w:p>
    <w:p>
      <w:pPr>
        <w:pStyle w:val="Normal"/>
        <w:jc w:val="both"/>
        <w:rPr>
          <w:sz w:val="24"/>
        </w:rPr>
      </w:pPr>
      <w:r>
        <w:rPr>
          <w:sz w:val="24"/>
        </w:rPr>
      </w:r>
    </w:p>
    <w:p>
      <w:pPr>
        <w:pStyle w:val="Normal"/>
        <w:numPr>
          <w:ilvl w:val="0"/>
          <w:numId w:val="3"/>
        </w:numPr>
        <w:jc w:val="both"/>
        <w:rPr>
          <w:sz w:val="24"/>
        </w:rPr>
      </w:pPr>
      <w:r>
        <w:rPr>
          <w:sz w:val="24"/>
        </w:rPr>
        <w:t>A copy of daily time sheets for each classification showing actual hours worked, description of work performed, progress, valid receipts for all reimbursable expenses, if any, shall accompany each such Consultant’s invoice submitted, when required by Company.</w:t>
      </w:r>
    </w:p>
    <w:p>
      <w:pPr>
        <w:pStyle w:val="Normal"/>
        <w:jc w:val="both"/>
        <w:rPr>
          <w:sz w:val="24"/>
        </w:rPr>
      </w:pPr>
      <w:r>
        <w:rPr>
          <w:sz w:val="24"/>
        </w:rPr>
      </w:r>
    </w:p>
    <w:p>
      <w:pPr>
        <w:pStyle w:val="Normal"/>
        <w:jc w:val="both"/>
        <w:rPr/>
      </w:pPr>
      <w:r>
        <w:rPr>
          <w:sz w:val="24"/>
        </w:rPr>
        <w:t>5.</w:t>
        <w:tab/>
      </w:r>
      <w:r>
        <w:rPr>
          <w:sz w:val="24"/>
          <w:u w:val="single"/>
        </w:rPr>
        <w:t>Taxes and Other Payments</w:t>
      </w:r>
      <w:r>
        <w:rPr>
          <w:sz w:val="24"/>
        </w:rPr>
        <w:t xml:space="preserve">.  </w:t>
      </w:r>
    </w:p>
    <w:p>
      <w:pPr>
        <w:pStyle w:val="Normal"/>
        <w:jc w:val="both"/>
        <w:rPr>
          <w:sz w:val="24"/>
        </w:rPr>
      </w:pPr>
      <w:r>
        <w:rPr>
          <w:sz w:val="24"/>
        </w:rPr>
      </w:r>
    </w:p>
    <w:p>
      <w:pPr>
        <w:pStyle w:val="Normal"/>
        <w:numPr>
          <w:ilvl w:val="0"/>
          <w:numId w:val="4"/>
        </w:numPr>
        <w:jc w:val="both"/>
        <w:rPr>
          <w:sz w:val="24"/>
        </w:rPr>
      </w:pPr>
      <w:r>
        <w:rPr>
          <w:sz w:val="24"/>
          <w:u w:val="single"/>
        </w:rPr>
        <w:t>Sales and Use Taxes</w:t>
      </w:r>
      <w:r>
        <w:rPr>
          <w:sz w:val="24"/>
        </w:rPr>
        <w:t xml:space="preserve">.  Consultant agrees that the price to be paid for Services performed under this Agreement includes any such sales, use, gross receipts or like taxes on materials, supplies, equipment or services furnished by Consultant and on services performed by Consultant.  Consultant shall separately list on its invoice(s) all such taxes, including the tax rate and the taxing authority to whom such taxes are due and directly payable.  Consultant shall obtain the necessary permits and licenses to remit sales, use, gross receipts and like taxes to the applicable taxing authority.  Consultant agrees to indemnify company for all taxes, penalties and interest resulting from Consultant’s failure to properly remit itemized taxes to the applicable taxing authority.  Upon written notice to Consultant, Company may elect to directly remit sales, use, gross receipts or like taxes to the taxing authority to whom such taxes are due and directly payable.  If Company exercises such election; Company shall provide Consultant with written evidence, as required by applicable taxing authority, prior to Consultant’s procurement or payment of taxable purchases.  </w:t>
      </w:r>
    </w:p>
    <w:p>
      <w:pPr>
        <w:pStyle w:val="Normal"/>
        <w:jc w:val="both"/>
        <w:rPr>
          <w:sz w:val="24"/>
        </w:rPr>
      </w:pPr>
      <w:r>
        <w:rPr>
          <w:sz w:val="24"/>
        </w:rPr>
      </w:r>
    </w:p>
    <w:p>
      <w:pPr>
        <w:pStyle w:val="Normal"/>
        <w:numPr>
          <w:ilvl w:val="0"/>
          <w:numId w:val="4"/>
        </w:numPr>
        <w:jc w:val="both"/>
        <w:rPr>
          <w:sz w:val="24"/>
        </w:rPr>
      </w:pPr>
      <w:r>
        <w:rPr>
          <w:sz w:val="24"/>
          <w:u w:val="single"/>
        </w:rPr>
        <w:t>Other Payments</w:t>
      </w:r>
      <w:r>
        <w:rPr>
          <w:sz w:val="24"/>
        </w:rPr>
        <w:t>.  Consultant assumes full responsibility for and agrees to pay for, and agrees that the price to be paid by Company as set herein shall be fully inclusive of, all labor, including overtime as legally required, all overhead, and all contributions and taxes payable under federal and state social security acts, old age pension, worker’s compensation laws, unemployment compensation laws and income tax laws and any other applicable laws as to all of its employees and agents engaged in the performance of the Services hereunder; and Consultant hereby agrees to indemnify and save company harmless against the consequences of any failure by Consultant or any of its agents to pay or withhold taxes, charges or compensation due on behalf of its employees or agents involved in the Services.</w:t>
      </w:r>
    </w:p>
    <w:p>
      <w:pPr>
        <w:pStyle w:val="Normal"/>
        <w:jc w:val="both"/>
        <w:rPr>
          <w:sz w:val="24"/>
        </w:rPr>
      </w:pPr>
      <w:r>
        <w:rPr>
          <w:sz w:val="24"/>
        </w:rPr>
      </w:r>
    </w:p>
    <w:p>
      <w:pPr>
        <w:pStyle w:val="Normal"/>
        <w:jc w:val="both"/>
        <w:rPr/>
      </w:pPr>
      <w:r>
        <w:rPr>
          <w:sz w:val="24"/>
        </w:rPr>
        <w:t>6.</w:t>
        <w:tab/>
      </w:r>
      <w:r>
        <w:rPr>
          <w:sz w:val="24"/>
          <w:u w:val="single"/>
        </w:rPr>
        <w:t>Records and Audit</w:t>
      </w:r>
      <w:r>
        <w:rPr>
          <w:sz w:val="24"/>
        </w:rPr>
        <w:t xml:space="preserve">.  Consultant is required to maintain receipts, canceled checks, vouchers, records, invoices for purchases, rate schedules, etc., to sufficiently document and properly reflect all costs and expenditures incurred by Consultant, and the disposition of any materials, tools, or equipment provided by Company. Such records maintained shall include, but not be limited to, support for costs invoiced to the Company, all direct and indirect costs incurred by the Consultant, and other evidence which would enable Company employees to evaluate Consultant’s compliance to Company’s policies and procedures.  All costs and expenditures incurred by Consultant in the completion of the Services shall be recorded in such form and detail as to enable ready computation and audit of such costs.  Consultant shall preserve and make available all such records for a period of  (2) two years after completion or termination of the Services.  Consultant will require all agents to comply with the provisions of the paragraph by insertion of these requirements in a written agreement between Consultant and agents or representatives.  Such records shall be open to inspection and subject to audit and reproduction during normal working hours by Company’s agent or its authorized representatives, including any public accounting firm selected by it.  Inspection and audit shall be performed as deemed necessary by the company, to allow for the adequate evaluation and verification of the Consultant’s costs and subsequent invoices, Work Orders, etc., submitted to the Company.  Records which will be subject to audit include, but are not limited to: </w:t>
      </w:r>
    </w:p>
    <w:p>
      <w:pPr>
        <w:pStyle w:val="Normal"/>
        <w:jc w:val="both"/>
        <w:rPr>
          <w:sz w:val="24"/>
        </w:rPr>
      </w:pPr>
      <w:r>
        <w:rPr>
          <w:sz w:val="24"/>
        </w:rPr>
      </w:r>
    </w:p>
    <w:p>
      <w:pPr>
        <w:pStyle w:val="Normal"/>
        <w:numPr>
          <w:ilvl w:val="0"/>
          <w:numId w:val="2"/>
        </w:numPr>
        <w:jc w:val="both"/>
        <w:rPr>
          <w:sz w:val="24"/>
        </w:rPr>
      </w:pPr>
      <w:r>
        <w:rPr>
          <w:sz w:val="24"/>
        </w:rPr>
        <w:t xml:space="preserve">To the extent same exist, payroll records accounting for total time distribution of Consultant’s employees working full or part-time on the Services (to permit tracing of payroll records and related tax returns), as well as canceled payroll checks, or signed receipts for payroll payments made in cash; </w:t>
      </w:r>
    </w:p>
    <w:p>
      <w:pPr>
        <w:pStyle w:val="Normal"/>
        <w:jc w:val="both"/>
        <w:rPr>
          <w:sz w:val="24"/>
        </w:rPr>
      </w:pPr>
      <w:r>
        <w:rPr>
          <w:sz w:val="24"/>
        </w:rPr>
      </w:r>
    </w:p>
    <w:p>
      <w:pPr>
        <w:pStyle w:val="Normal"/>
        <w:numPr>
          <w:ilvl w:val="0"/>
          <w:numId w:val="2"/>
        </w:numPr>
        <w:jc w:val="both"/>
        <w:rPr>
          <w:sz w:val="24"/>
        </w:rPr>
      </w:pPr>
      <w:r>
        <w:rPr>
          <w:sz w:val="24"/>
        </w:rPr>
        <w:t xml:space="preserve">invoices for purchases, receiving and issuing documents, and all other inventory records for Consultant’s stores stock or capital items; </w:t>
      </w:r>
    </w:p>
    <w:p>
      <w:pPr>
        <w:pStyle w:val="Normal"/>
        <w:jc w:val="both"/>
        <w:rPr>
          <w:sz w:val="24"/>
        </w:rPr>
      </w:pPr>
      <w:r>
        <w:rPr>
          <w:sz w:val="24"/>
        </w:rPr>
      </w:r>
    </w:p>
    <w:p>
      <w:pPr>
        <w:pStyle w:val="Normal"/>
        <w:numPr>
          <w:ilvl w:val="0"/>
          <w:numId w:val="2"/>
        </w:numPr>
        <w:jc w:val="both"/>
        <w:rPr>
          <w:sz w:val="24"/>
        </w:rPr>
      </w:pPr>
      <w:r>
        <w:rPr>
          <w:sz w:val="24"/>
        </w:rPr>
        <w:t xml:space="preserve">paid invoices and canceled checks for material purchase and for agents and any other third parties charges, including, but not limited to equipment rental; and </w:t>
      </w:r>
    </w:p>
    <w:p>
      <w:pPr>
        <w:pStyle w:val="Normal"/>
        <w:jc w:val="both"/>
        <w:rPr>
          <w:sz w:val="24"/>
        </w:rPr>
      </w:pPr>
      <w:r>
        <w:rPr>
          <w:sz w:val="24"/>
        </w:rPr>
      </w:r>
    </w:p>
    <w:p>
      <w:pPr>
        <w:pStyle w:val="Normal"/>
        <w:numPr>
          <w:ilvl w:val="0"/>
          <w:numId w:val="2"/>
        </w:numPr>
        <w:jc w:val="both"/>
        <w:rPr>
          <w:sz w:val="24"/>
        </w:rPr>
      </w:pPr>
      <w:r>
        <w:rPr>
          <w:sz w:val="24"/>
        </w:rPr>
        <w:t>travel, lodging, and meals documentation.</w:t>
      </w:r>
    </w:p>
    <w:p>
      <w:pPr>
        <w:pStyle w:val="Normal"/>
        <w:jc w:val="both"/>
        <w:rPr>
          <w:sz w:val="24"/>
        </w:rPr>
      </w:pPr>
      <w:r>
        <w:rPr>
          <w:sz w:val="24"/>
        </w:rPr>
      </w:r>
    </w:p>
    <w:p>
      <w:pPr>
        <w:pStyle w:val="BodyText2"/>
        <w:rPr>
          <w:rFonts w:ascii="Times New Roman" w:hAnsi="Times New Roman" w:cs="Times New Roman"/>
          <w:sz w:val="24"/>
        </w:rPr>
      </w:pPr>
      <w:r>
        <w:rPr>
          <w:rFonts w:cs="Times New Roman" w:ascii="Times New Roman" w:hAnsi="Times New Roman"/>
          <w:sz w:val="24"/>
        </w:rPr>
        <w:t>Consultant’s requirement to maintain records under this Paragraph 6 shall be specifically limited to work performed on a time and materials basis.</w:t>
      </w:r>
    </w:p>
    <w:p>
      <w:pPr>
        <w:pStyle w:val="Normal"/>
        <w:jc w:val="both"/>
        <w:rPr>
          <w:rFonts w:ascii="Times New Roman" w:hAnsi="Times New Roman" w:cs="Times New Roman"/>
          <w:sz w:val="24"/>
        </w:rPr>
      </w:pPr>
      <w:r>
        <w:rPr>
          <w:rFonts w:cs="Times New Roman"/>
          <w:sz w:val="24"/>
        </w:rPr>
      </w:r>
    </w:p>
    <w:p>
      <w:pPr>
        <w:pStyle w:val="Normal"/>
        <w:jc w:val="both"/>
        <w:rPr/>
      </w:pPr>
      <w:r>
        <w:rPr>
          <w:sz w:val="24"/>
        </w:rPr>
        <w:t>7.</w:t>
        <w:tab/>
      </w:r>
      <w:r>
        <w:rPr>
          <w:sz w:val="24"/>
          <w:u w:val="single"/>
        </w:rPr>
        <w:t>Notices</w:t>
      </w:r>
      <w:r>
        <w:rPr>
          <w:sz w:val="24"/>
        </w:rPr>
        <w:t>.  All notices and invoices shall be sent as follows:</w:t>
      </w:r>
    </w:p>
    <w:p>
      <w:pPr>
        <w:pStyle w:val="Normal"/>
        <w:jc w:val="both"/>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rPr>
                <w:b/>
                <w:sz w:val="24"/>
              </w:rPr>
            </w:pPr>
            <w:r>
              <w:rPr>
                <w:b/>
                <w:sz w:val="24"/>
              </w:rPr>
              <w:t>Consultant</w:t>
            </w:r>
          </w:p>
        </w:tc>
        <w:tc>
          <w:tcPr>
            <w:tcW w:w="2952" w:type="dxa"/>
            <w:tcBorders/>
          </w:tcPr>
          <w:p>
            <w:pPr>
              <w:pStyle w:val="Heading4"/>
              <w:ind w:hanging="0" w:start="0"/>
              <w:rPr/>
            </w:pPr>
            <w:r>
              <w:rPr/>
              <w:t>Company</w:t>
            </w:r>
          </w:p>
        </w:tc>
        <w:tc>
          <w:tcPr>
            <w:tcW w:w="2952" w:type="dxa"/>
            <w:tcBorders/>
          </w:tcPr>
          <w:p>
            <w:pPr>
              <w:pStyle w:val="Normal"/>
              <w:snapToGrid w:val="false"/>
              <w:rPr>
                <w:b/>
                <w:sz w:val="24"/>
              </w:rPr>
            </w:pPr>
            <w:r>
              <w:rPr>
                <w:b/>
                <w:sz w:val="24"/>
              </w:rPr>
            </w:r>
          </w:p>
        </w:tc>
      </w:tr>
      <w:tr>
        <w:trPr/>
        <w:tc>
          <w:tcPr>
            <w:tcW w:w="2952" w:type="dxa"/>
            <w:tcBorders/>
          </w:tcPr>
          <w:p>
            <w:pPr>
              <w:pStyle w:val="Normal"/>
              <w:rPr>
                <w:sz w:val="24"/>
              </w:rPr>
            </w:pPr>
            <w:r>
              <w:rPr>
                <w:sz w:val="24"/>
              </w:rPr>
              <w:t>Notices to:</w:t>
            </w:r>
          </w:p>
          <w:p>
            <w:pPr>
              <w:pStyle w:val="Normal"/>
              <w:rPr>
                <w:sz w:val="24"/>
              </w:rPr>
            </w:pPr>
            <w:r>
              <w:rPr>
                <w:sz w:val="24"/>
              </w:rPr>
              <w:t>Mr. Eric Romero</w:t>
            </w:r>
          </w:p>
          <w:p>
            <w:pPr>
              <w:pStyle w:val="Normal"/>
              <w:rPr>
                <w:sz w:val="24"/>
              </w:rPr>
            </w:pPr>
            <w:r>
              <w:rPr>
                <w:sz w:val="24"/>
              </w:rPr>
              <w:t>Vice President</w:t>
            </w:r>
          </w:p>
          <w:p>
            <w:pPr>
              <w:pStyle w:val="Normal"/>
              <w:rPr>
                <w:sz w:val="24"/>
              </w:rPr>
            </w:pPr>
            <w:r>
              <w:rPr>
                <w:sz w:val="24"/>
              </w:rPr>
              <w:t>Project Consulting Services, Inc.</w:t>
            </w:r>
          </w:p>
          <w:p>
            <w:pPr>
              <w:pStyle w:val="Normal"/>
              <w:rPr>
                <w:sz w:val="24"/>
              </w:rPr>
            </w:pPr>
            <w:r>
              <w:rPr>
                <w:sz w:val="24"/>
              </w:rPr>
              <w:t>11200 Westheimer, Ste. 330</w:t>
            </w:r>
          </w:p>
          <w:p>
            <w:pPr>
              <w:pStyle w:val="Normal"/>
              <w:rPr>
                <w:sz w:val="24"/>
              </w:rPr>
            </w:pPr>
            <w:r>
              <w:rPr>
                <w:sz w:val="24"/>
              </w:rPr>
              <w:t>Houston, TX 77042-3216</w:t>
            </w:r>
          </w:p>
          <w:p>
            <w:pPr>
              <w:pStyle w:val="Normal"/>
              <w:rPr>
                <w:sz w:val="24"/>
              </w:rPr>
            </w:pPr>
            <w:r>
              <w:rPr>
                <w:sz w:val="24"/>
              </w:rPr>
              <w:t xml:space="preserve">Phone: 713-952-7380 </w:t>
            </w:r>
          </w:p>
          <w:p>
            <w:pPr>
              <w:pStyle w:val="Normal"/>
              <w:rPr>
                <w:sz w:val="24"/>
              </w:rPr>
            </w:pPr>
            <w:r>
              <w:rPr>
                <w:sz w:val="24"/>
              </w:rPr>
              <w:t>Fax:     713-952-7082</w:t>
            </w:r>
          </w:p>
          <w:p>
            <w:pPr>
              <w:pStyle w:val="Normal"/>
              <w:rPr>
                <w:sz w:val="24"/>
              </w:rPr>
            </w:pPr>
            <w:r>
              <w:rPr>
                <w:sz w:val="24"/>
              </w:rPr>
              <w:t>E:mail:</w:t>
            </w:r>
          </w:p>
          <w:p>
            <w:pPr>
              <w:pStyle w:val="Normal"/>
              <w:rPr>
                <w:sz w:val="24"/>
              </w:rPr>
            </w:pPr>
            <w:r>
              <w:rPr>
                <w:sz w:val="24"/>
              </w:rPr>
              <w:t>eromero@hou.projectconsulting.com</w:t>
            </w:r>
          </w:p>
          <w:p>
            <w:pPr>
              <w:pStyle w:val="Normal"/>
              <w:rPr>
                <w:sz w:val="24"/>
              </w:rPr>
            </w:pPr>
            <w:r>
              <w:rPr>
                <w:sz w:val="24"/>
              </w:rPr>
            </w:r>
          </w:p>
        </w:tc>
        <w:tc>
          <w:tcPr>
            <w:tcW w:w="2952" w:type="dxa"/>
            <w:tcBorders/>
          </w:tcPr>
          <w:p>
            <w:pPr>
              <w:pStyle w:val="Normal"/>
              <w:rPr>
                <w:sz w:val="24"/>
              </w:rPr>
            </w:pPr>
            <w:r>
              <w:rPr>
                <w:sz w:val="24"/>
              </w:rPr>
              <w:t>Notices to:</w:t>
            </w:r>
          </w:p>
          <w:p>
            <w:pPr>
              <w:pStyle w:val="Normal"/>
              <w:rPr>
                <w:sz w:val="24"/>
              </w:rPr>
            </w:pPr>
            <w:r>
              <w:rPr>
                <w:sz w:val="24"/>
              </w:rPr>
              <w:t>Kenneth Loch</w:t>
            </w:r>
          </w:p>
          <w:p>
            <w:pPr>
              <w:pStyle w:val="Normal"/>
              <w:rPr>
                <w:sz w:val="24"/>
              </w:rPr>
            </w:pPr>
            <w:r>
              <w:rPr>
                <w:sz w:val="24"/>
              </w:rPr>
              <w:t xml:space="preserve">Enron North America Corp. 1400 Smith Street </w:t>
            </w:r>
          </w:p>
          <w:p>
            <w:pPr>
              <w:pStyle w:val="Normal"/>
              <w:rPr>
                <w:sz w:val="24"/>
              </w:rPr>
            </w:pPr>
            <w:r>
              <w:rPr>
                <w:sz w:val="24"/>
              </w:rPr>
              <w:t>P. O. Box 1188</w:t>
            </w:r>
          </w:p>
          <w:p>
            <w:pPr>
              <w:pStyle w:val="Normal"/>
              <w:rPr>
                <w:sz w:val="24"/>
              </w:rPr>
            </w:pPr>
            <w:r>
              <w:rPr>
                <w:sz w:val="24"/>
              </w:rPr>
              <w:t>Houston, TX 77002</w:t>
            </w:r>
          </w:p>
          <w:p>
            <w:pPr>
              <w:pStyle w:val="Normal"/>
              <w:rPr>
                <w:sz w:val="24"/>
              </w:rPr>
            </w:pPr>
            <w:r>
              <w:rPr>
                <w:sz w:val="24"/>
              </w:rPr>
              <w:t>Phone:  713-345-8962</w:t>
            </w:r>
          </w:p>
          <w:p>
            <w:pPr>
              <w:pStyle w:val="Normal"/>
              <w:rPr>
                <w:sz w:val="24"/>
              </w:rPr>
            </w:pPr>
            <w:r>
              <w:rPr>
                <w:sz w:val="24"/>
              </w:rPr>
              <w:t>Fax: 713-646-8416</w:t>
            </w:r>
          </w:p>
          <w:p>
            <w:pPr>
              <w:pStyle w:val="Normal"/>
              <w:rPr>
                <w:sz w:val="24"/>
              </w:rPr>
            </w:pPr>
            <w:r>
              <w:rPr>
                <w:sz w:val="24"/>
              </w:rPr>
              <w:t xml:space="preserve">E:mail:  ken.loch@enron.com </w:t>
            </w:r>
          </w:p>
        </w:tc>
        <w:tc>
          <w:tcPr>
            <w:tcW w:w="2952" w:type="dxa"/>
            <w:tcBorders/>
          </w:tcPr>
          <w:p>
            <w:pPr>
              <w:pStyle w:val="Normal"/>
              <w:rPr>
                <w:sz w:val="24"/>
              </w:rPr>
            </w:pPr>
            <w:r>
              <w:rPr>
                <w:sz w:val="24"/>
              </w:rPr>
              <w:t>Invoices to:</w:t>
            </w:r>
          </w:p>
          <w:p>
            <w:pPr>
              <w:pStyle w:val="Normal"/>
              <w:rPr>
                <w:sz w:val="24"/>
              </w:rPr>
            </w:pPr>
            <w:r>
              <w:rPr>
                <w:sz w:val="24"/>
              </w:rPr>
              <w:t>Melissa Jones</w:t>
            </w:r>
          </w:p>
          <w:p>
            <w:pPr>
              <w:pStyle w:val="Normal"/>
              <w:rPr>
                <w:sz w:val="24"/>
              </w:rPr>
            </w:pPr>
            <w:r>
              <w:rPr>
                <w:sz w:val="24"/>
              </w:rPr>
              <w:t xml:space="preserve">Enron North America Corp. 1400 Smith Street </w:t>
            </w:r>
          </w:p>
          <w:p>
            <w:pPr>
              <w:pStyle w:val="Normal"/>
              <w:rPr>
                <w:sz w:val="24"/>
              </w:rPr>
            </w:pPr>
            <w:r>
              <w:rPr>
                <w:sz w:val="24"/>
              </w:rPr>
              <w:t>P. O. Box 1188</w:t>
            </w:r>
          </w:p>
          <w:p>
            <w:pPr>
              <w:pStyle w:val="Normal"/>
              <w:rPr>
                <w:sz w:val="24"/>
              </w:rPr>
            </w:pPr>
            <w:r>
              <w:rPr>
                <w:sz w:val="24"/>
              </w:rPr>
              <w:t>Houston, TX 77002</w:t>
            </w:r>
          </w:p>
          <w:p>
            <w:pPr>
              <w:pStyle w:val="Normal"/>
              <w:rPr>
                <w:sz w:val="24"/>
              </w:rPr>
            </w:pPr>
            <w:r>
              <w:rPr>
                <w:sz w:val="24"/>
              </w:rPr>
              <w:t>Phone:  713-853-7960</w:t>
            </w:r>
          </w:p>
          <w:p>
            <w:pPr>
              <w:pStyle w:val="Normal"/>
              <w:rPr>
                <w:sz w:val="24"/>
              </w:rPr>
            </w:pPr>
            <w:r>
              <w:rPr>
                <w:sz w:val="24"/>
              </w:rPr>
              <w:t>Fax: 713-646-8416</w:t>
            </w:r>
          </w:p>
          <w:p>
            <w:pPr>
              <w:pStyle w:val="Normal"/>
              <w:rPr>
                <w:sz w:val="24"/>
              </w:rPr>
            </w:pPr>
            <w:r>
              <w:rPr>
                <w:sz w:val="24"/>
              </w:rPr>
              <w:t xml:space="preserve">E:mail: mjones1@enron.com </w:t>
            </w:r>
          </w:p>
          <w:p>
            <w:pPr>
              <w:pStyle w:val="Normal"/>
              <w:rPr>
                <w:sz w:val="24"/>
              </w:rPr>
            </w:pPr>
            <w:r>
              <w:rPr>
                <w:sz w:val="24"/>
              </w:rPr>
            </w:r>
          </w:p>
        </w:tc>
      </w:tr>
    </w:tbl>
    <w:p>
      <w:pPr>
        <w:pStyle w:val="Normal"/>
        <w:rPr/>
      </w:pPr>
      <w:r>
        <w:rPr/>
      </w:r>
    </w:p>
    <w:p>
      <w:pPr>
        <w:pStyle w:val="Normal"/>
        <w:jc w:val="both"/>
        <w:rPr/>
      </w:pPr>
      <w:r>
        <w:rPr>
          <w:sz w:val="24"/>
        </w:rPr>
        <w:t>8.</w:t>
        <w:tab/>
      </w:r>
      <w:r>
        <w:rPr>
          <w:sz w:val="24"/>
          <w:u w:val="single"/>
        </w:rPr>
        <w:t>Independent Consultant</w:t>
      </w:r>
      <w:r>
        <w:rPr>
          <w:sz w:val="24"/>
        </w:rPr>
        <w:t>.  The Services herein provided for shall be performed by Consultant as an independent Consultant, and Consultant has full power and authority to select the means, methods and manner of performing the Services, and Consultant is responsible to Company only for the results herein contracted.  This Agreement does not in any way create an employer/employee relationship between Company and Consultant.  Consultant is not entitled to the benefits provided by Company or its parent, subsidiaries or affiliates to their employees, and Consultant is an agent, partner, or joint venture of Company, its parent or a subsidiary or affiliate.  Consultant shall act at its own risk and expense in its fulfillment of the terms and obligations of this Agreement and agrees to employ and direct any persons performing any Services hereunder.  Consultant shall not represent itself to third persons to be other than an independent Consultant for Company, nor shall Consultant offer to agree to incur or assume any obligations or commitments in the name of Company.</w:t>
      </w:r>
    </w:p>
    <w:p>
      <w:pPr>
        <w:pStyle w:val="Normal"/>
        <w:jc w:val="both"/>
        <w:rPr>
          <w:sz w:val="24"/>
        </w:rPr>
      </w:pPr>
      <w:r>
        <w:rPr>
          <w:sz w:val="24"/>
        </w:rPr>
      </w:r>
    </w:p>
    <w:p>
      <w:pPr>
        <w:pStyle w:val="Normal"/>
        <w:jc w:val="both"/>
        <w:rPr/>
      </w:pPr>
      <w:r>
        <w:rPr>
          <w:sz w:val="24"/>
        </w:rPr>
        <w:t>9.</w:t>
        <w:tab/>
      </w:r>
      <w:r>
        <w:rPr>
          <w:sz w:val="24"/>
          <w:u w:val="single"/>
        </w:rPr>
        <w:t>Insurance</w:t>
      </w:r>
      <w:r>
        <w:rPr>
          <w:sz w:val="24"/>
        </w:rPr>
        <w:t>.  For the entire period of this Agreement, Consultant shall, as Consultant’s sole expense, procure and maintain with insurance companies acceptable to Company, at a minimum, those insurance coverage’s as set forth in Exhibit “C” – Minimum Insurance Requirements.  Consultant shall submit to Company at the time Consultant signs this Agreement, a Certificate of Insurance, in form satisfactory to Company, evidencing that satisfactory coverage of the types and limits set forth in such Exhibit.</w:t>
      </w:r>
    </w:p>
    <w:p>
      <w:pPr>
        <w:pStyle w:val="Normal"/>
        <w:jc w:val="both"/>
        <w:rPr>
          <w:sz w:val="24"/>
        </w:rPr>
      </w:pPr>
      <w:r>
        <w:rPr>
          <w:sz w:val="24"/>
        </w:rPr>
      </w:r>
    </w:p>
    <w:p>
      <w:pPr>
        <w:pStyle w:val="Normal"/>
        <w:jc w:val="both"/>
        <w:rPr>
          <w:sz w:val="24"/>
        </w:rPr>
      </w:pPr>
      <w:r>
        <w:rPr>
          <w:sz w:val="24"/>
        </w:rPr>
        <w:t>Should Consultant fail to comply with any of the foregoing insurance requirements, Company, in its sole discretion, may immediately terminate this Agreement.  Consultant further agrees that nothing contained in Exhibit “C” shall relieve Consultant of any of Consultant’s obligations and responsibilities contained in any Paragraph of this Agreement.</w:t>
      </w:r>
    </w:p>
    <w:p>
      <w:pPr>
        <w:pStyle w:val="Normal"/>
        <w:jc w:val="both"/>
        <w:rPr>
          <w:sz w:val="24"/>
        </w:rPr>
      </w:pPr>
      <w:r>
        <w:rPr>
          <w:sz w:val="24"/>
        </w:rPr>
      </w:r>
    </w:p>
    <w:p>
      <w:pPr>
        <w:pStyle w:val="Normal"/>
        <w:jc w:val="both"/>
        <w:rPr/>
      </w:pPr>
      <w:r>
        <w:rPr>
          <w:sz w:val="24"/>
        </w:rPr>
        <w:t>10,</w:t>
        <w:tab/>
      </w:r>
      <w:r>
        <w:rPr>
          <w:sz w:val="24"/>
          <w:u w:val="single"/>
        </w:rPr>
        <w:t>Indemnity</w:t>
      </w:r>
      <w:r>
        <w:rPr>
          <w:sz w:val="24"/>
        </w:rPr>
        <w:t xml:space="preserve">.  </w:t>
      </w:r>
    </w:p>
    <w:p>
      <w:pPr>
        <w:pStyle w:val="Normal"/>
        <w:jc w:val="both"/>
        <w:rPr>
          <w:sz w:val="24"/>
        </w:rPr>
      </w:pPr>
      <w:r>
        <w:rPr>
          <w:sz w:val="24"/>
        </w:rPr>
      </w:r>
    </w:p>
    <w:p>
      <w:pPr>
        <w:pStyle w:val="Normal"/>
        <w:jc w:val="both"/>
        <w:rPr>
          <w:sz w:val="24"/>
        </w:rPr>
      </w:pPr>
      <w:r>
        <w:rPr>
          <w:sz w:val="24"/>
        </w:rPr>
        <w:t>(a)</w:t>
        <w:tab/>
        <w:t>One percent of the amount paid pursuant to this Agreement represents specific consideration to Consultant for the indemnification set forth herein.  CONSULTANT AGREES TO AND SHALL, TO THE EXTENT OF THE NEGLIGENCE OF CONSULTANT OR OF ANY CONTROLLED PERSONS (hereafter defined), INDEMNIFY, DEFEND AND HOLD HARMLESS COMPANY, ITS PARENT AND AFFILIATE COMPANIES,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OR ANY CIVIL OR CRIMINAL FINES OR PENALTIES, ARISING  OUT OF OR IN CONNECTION WITH ANY ACT, ERROR, OMISSION OR NEGLIGENCE BY CONSULTANT, ANY AGENTS (OF ANY TIER), ANYONE DIRECTLY OR INDIRECTLY EMPLOYED BY OR OTHERWISE RETAINED, LEASED OR BORROWED BY CONSULTANT OR BY ANY AGENTS, OR ANYONE THAT CONSULTANT OR ANY AGENTS OTHERWISE CONTROLS OR EXERCISES CONTROL OVER (with all of the foregoing referred to collectively as “CONTROLLED PERSONS”), WITH RESPECT TO OR IN ANY WAY INCIDENTAL TO THE PERFORMANCE OF THIS AGREEMENT OR ANY SERVICES PERFORMED HEREUNDER.  CONSULTANT FURTHER AGREES, EXCEPT AS MAY BE OTHERWISE SPECIFICALLY PROVIDED HEREIN, THAT THE OBLIGATION OF INDEMNIFICATION HEREUNDER SHALL INCLUDE, BUT NOT BE LIMITED TO (A) LIENS BY THIRD PERSONS AGAINST THE COMPANY, ITS PARENT AND AFFILIATED COMPANIES, AND THEIR PROPERTY, BECAUSE OF LABOR, SERVICES, MATERIALS, OR ANY OTHER TYPE OF LIEN, FURNISHED TO CONSULTANT, ITS ASSIGNEES OR AGENTS, IN CONNECTION WITH THE SERVICES PERFORMED BY CONSULTANT HEREUNDER AND (B) EXPENSES, CLAIMS, FINES, ETC., RESULTING FROM THE FAILURE OF CONSULTANT OR A CONTROLLED PERSON TO ABIDE BY ANY AND ALL VALID AND APPLICABLE LAWS, RULES OR REGULATIONS OF GOVERNMENTAL AUTHORITY WITH JURISDICTION.  THE AMOUNT OF CONSULTANT’S INDEMNIFICATION OBLIGATION SHALL BE CAPPED AT THE GREATER OF (A) THE TOTAL COMPENSATION EARNED UNDER THIS CONTRACT OR (B) THE MAXIMUM COVERAGE OF CONSULTANT’S INSURANCE AVAILABLE TO PAY THE INDEMNIFICATION OBLIGATION.</w:t>
      </w:r>
    </w:p>
    <w:p>
      <w:pPr>
        <w:pStyle w:val="Normal"/>
        <w:jc w:val="both"/>
        <w:rPr>
          <w:sz w:val="24"/>
        </w:rPr>
      </w:pPr>
      <w:r>
        <w:rPr>
          <w:sz w:val="24"/>
        </w:rPr>
      </w:r>
    </w:p>
    <w:p>
      <w:pPr>
        <w:pStyle w:val="Normal"/>
        <w:jc w:val="both"/>
        <w:rPr>
          <w:sz w:val="24"/>
        </w:rPr>
      </w:pPr>
      <w:r>
        <w:rPr>
          <w:sz w:val="24"/>
        </w:rPr>
        <w:t>(b)</w:t>
        <w:tab/>
        <w:t>COMPANY AGREES TO INDEMNIFY, DEFEND AND HOLD HARMLESS CONSULTANT FROM AND AGAINST ANY AND ALL CLAIMS, DEMANDS, LOSSES, DAMAGES, CAUSES OF ACTION OR LAW SUITS, INCLUDING ALL EXPENSES OF LITIGATION, COURT COSTS, AND ATTORNEY’S FEES ARISING  OUT OF OR IN CONNECTION WITH ANY CLAIMS MADE BY ANY EMPLOYEE OF COMPANY OR OF ANY OF ITS AFFILIATES DURING THE TERM OF THIS AGREEMENT, EXCEPT TO THE EXTENT CONSULTANT’S NEGLIGENCE OR WILLFUL MISCONDUCT GAVE RISE TO SUCH CLAIM.</w:t>
      </w:r>
    </w:p>
    <w:p>
      <w:pPr>
        <w:pStyle w:val="Normal"/>
        <w:jc w:val="both"/>
        <w:rPr>
          <w:sz w:val="24"/>
        </w:rPr>
      </w:pPr>
      <w:r>
        <w:rPr>
          <w:sz w:val="24"/>
        </w:rPr>
      </w:r>
    </w:p>
    <w:p>
      <w:pPr>
        <w:pStyle w:val="Normal"/>
        <w:jc w:val="both"/>
        <w:rPr/>
      </w:pPr>
      <w:r>
        <w:rPr>
          <w:sz w:val="24"/>
        </w:rPr>
        <w:t>11.</w:t>
        <w:tab/>
      </w:r>
      <w:r>
        <w:rPr>
          <w:sz w:val="24"/>
          <w:u w:val="single"/>
        </w:rPr>
        <w:t>Covenants, Representations and Warranties</w:t>
      </w:r>
      <w:r>
        <w:rPr>
          <w:sz w:val="24"/>
        </w:rPr>
        <w:t>.  Consultant covenants, warrants and represents to Company that:</w:t>
      </w:r>
    </w:p>
    <w:p>
      <w:pPr>
        <w:pStyle w:val="Normal"/>
        <w:jc w:val="both"/>
        <w:rPr>
          <w:sz w:val="24"/>
        </w:rPr>
      </w:pPr>
      <w:r>
        <w:rPr>
          <w:sz w:val="24"/>
        </w:rPr>
      </w:r>
    </w:p>
    <w:p>
      <w:pPr>
        <w:pStyle w:val="Normal"/>
        <w:numPr>
          <w:ilvl w:val="0"/>
          <w:numId w:val="5"/>
        </w:numPr>
        <w:jc w:val="both"/>
        <w:rPr>
          <w:sz w:val="24"/>
        </w:rPr>
      </w:pPr>
      <w:r>
        <w:rPr>
          <w:sz w:val="24"/>
        </w:rPr>
        <w:t>The Services will be accomplished in a good and workmanlike manner in accordance with Company’s approved practices and standards, with approved practices and standards of the industry, and with all plans and specifications made a part of this Agreement or any applicable Work Order.  Consultant assumes soles responsibility to assure that the Services are accomplished in accordance with any and all prudent and applicable safety standards.  Consultant shall employ such methods and information in the performance of the Services under this Agreement as will ensure work of reasonable accuracy;</w:t>
      </w:r>
    </w:p>
    <w:p>
      <w:pPr>
        <w:pStyle w:val="Normal"/>
        <w:jc w:val="both"/>
        <w:rPr>
          <w:sz w:val="24"/>
        </w:rPr>
      </w:pPr>
      <w:r>
        <w:rPr>
          <w:sz w:val="24"/>
        </w:rPr>
      </w:r>
    </w:p>
    <w:p>
      <w:pPr>
        <w:pStyle w:val="Normal"/>
        <w:numPr>
          <w:ilvl w:val="0"/>
          <w:numId w:val="5"/>
        </w:numPr>
        <w:jc w:val="both"/>
        <w:rPr>
          <w:sz w:val="24"/>
        </w:rPr>
      </w:pPr>
      <w:r>
        <w:rPr>
          <w:sz w:val="24"/>
        </w:rPr>
        <w:t>Consultant is engaged in the business of, and has developed the requisite expertise for performing the Services.  Consultant and its agents, employees and agents have the capability, experience, expertise and means required to perform the Services, and the Services will be performed using personnel, equipment and materials qualified and/or suitable to do Services requested.  Consultant acknowledges that Company is relying on Consultant’s expertise and knowledge in its performance of the Services; and</w:t>
      </w:r>
    </w:p>
    <w:p>
      <w:pPr>
        <w:pStyle w:val="Normal"/>
        <w:jc w:val="both"/>
        <w:rPr>
          <w:sz w:val="24"/>
        </w:rPr>
      </w:pPr>
      <w:r>
        <w:rPr>
          <w:sz w:val="24"/>
        </w:rPr>
      </w:r>
    </w:p>
    <w:p>
      <w:pPr>
        <w:pStyle w:val="Normal"/>
        <w:numPr>
          <w:ilvl w:val="0"/>
          <w:numId w:val="5"/>
        </w:numPr>
        <w:jc w:val="both"/>
        <w:rPr>
          <w:sz w:val="24"/>
        </w:rPr>
      </w:pPr>
      <w:r>
        <w:rPr>
          <w:sz w:val="24"/>
        </w:rPr>
        <w:t>Consultant has authority to do business in the state in which the Services is to be performed.</w:t>
      </w:r>
    </w:p>
    <w:p>
      <w:pPr>
        <w:pStyle w:val="Normal"/>
        <w:jc w:val="both"/>
        <w:rPr>
          <w:sz w:val="24"/>
        </w:rPr>
      </w:pPr>
      <w:r>
        <w:rPr>
          <w:sz w:val="24"/>
        </w:rPr>
      </w:r>
    </w:p>
    <w:p>
      <w:pPr>
        <w:pStyle w:val="Normal"/>
        <w:jc w:val="both"/>
        <w:rPr/>
      </w:pPr>
      <w:r>
        <w:rPr>
          <w:sz w:val="24"/>
        </w:rPr>
        <w:t>12.</w:t>
        <w:tab/>
      </w:r>
      <w:r>
        <w:rPr>
          <w:sz w:val="24"/>
          <w:u w:val="single"/>
        </w:rPr>
        <w:t>Public Relations</w:t>
      </w:r>
      <w:r>
        <w:rPr>
          <w:sz w:val="24"/>
        </w:rPr>
        <w:t>.  Consultant shall exert all reasonable efforts to maintain good will for the benefit of Company with the public, including, without limitation, engineering consultants, drilling consultants, oil and gas producers and other oilfield service providers with which Consultant comes into contact.</w:t>
      </w:r>
    </w:p>
    <w:p>
      <w:pPr>
        <w:pStyle w:val="Normal"/>
        <w:jc w:val="both"/>
        <w:rPr>
          <w:sz w:val="24"/>
        </w:rPr>
      </w:pPr>
      <w:r>
        <w:rPr>
          <w:sz w:val="24"/>
        </w:rPr>
      </w:r>
    </w:p>
    <w:p>
      <w:pPr>
        <w:pStyle w:val="Normal"/>
        <w:jc w:val="both"/>
        <w:rPr>
          <w:sz w:val="24"/>
        </w:rPr>
      </w:pPr>
      <w:r>
        <w:rPr>
          <w:sz w:val="24"/>
        </w:rPr>
        <w:t>Nothing contained herein shall permit or be deemed to permit use by Consultant of Company’s name, directory or indirectly, in the form of advertising or in a press release without the prior receipt of Company’s written approval.</w:t>
      </w:r>
    </w:p>
    <w:p>
      <w:pPr>
        <w:pStyle w:val="Normal"/>
        <w:jc w:val="both"/>
        <w:rPr>
          <w:sz w:val="24"/>
        </w:rPr>
      </w:pPr>
      <w:r>
        <w:rPr>
          <w:sz w:val="24"/>
        </w:rPr>
      </w:r>
    </w:p>
    <w:p>
      <w:pPr>
        <w:pStyle w:val="Normal"/>
        <w:jc w:val="both"/>
        <w:rPr/>
      </w:pPr>
      <w:r>
        <w:rPr>
          <w:sz w:val="24"/>
        </w:rPr>
        <w:t>13.</w:t>
        <w:tab/>
      </w:r>
      <w:r>
        <w:rPr>
          <w:sz w:val="24"/>
          <w:u w:val="single"/>
        </w:rPr>
        <w:t>Other Consultants</w:t>
      </w:r>
      <w:r>
        <w:rPr>
          <w:sz w:val="24"/>
        </w:rPr>
        <w:t>.  Company reserves the right, at all times, to enter into other agreements in connection with the Services.  At such times as Company may engage other Consultants to work concurrently on the project, Consultant shall cooperate with and program and coordinate the Services with that of the others to the satisfaction of the Company and so conduct its operations as to avoid interference with such other Consultants’ activity to the maximum extent possible in the best interests of the entire project; provided, however, that Company shall use its reasonable efforts to ensure that other Consultants shall carry out their activity with a minimum of interference with Consultant’s responsibilities, job sequence and schedule.</w:t>
      </w:r>
    </w:p>
    <w:p>
      <w:pPr>
        <w:pStyle w:val="Normal"/>
        <w:jc w:val="both"/>
        <w:rPr>
          <w:sz w:val="24"/>
        </w:rPr>
      </w:pPr>
      <w:r>
        <w:rPr>
          <w:sz w:val="24"/>
        </w:rPr>
      </w:r>
    </w:p>
    <w:p>
      <w:pPr>
        <w:pStyle w:val="Normal"/>
        <w:jc w:val="both"/>
        <w:rPr/>
      </w:pPr>
      <w:r>
        <w:rPr>
          <w:sz w:val="24"/>
        </w:rPr>
        <w:t>14.</w:t>
        <w:tab/>
      </w:r>
      <w:r>
        <w:rPr>
          <w:sz w:val="24"/>
          <w:u w:val="single"/>
        </w:rPr>
        <w:t>Confidentiality</w:t>
      </w:r>
      <w:r>
        <w:rPr>
          <w:sz w:val="24"/>
        </w:rPr>
        <w:t>.  It is understood that Consultant may have access, as determined by Company in its sole discretion, to confidential materials and information (“Confidential Information” as described in Exhibit “D”) of Company, its parent, subsidiaries, or affiliates in order to provide the Services hereunder.  It is further understood that Consultant will utilize the Confidential Information received by it only for the purpose of providing the Services contemplated hereunder and for no other purposes whatsoever.  In no event shall Consultant divulge any such Confidential Information to any third party without the express prior written consent of Company’s Representative.  Upon termination of this Agreement, Consultant agrees not to disclose or use any Confidential Information that it may have concerning the affairs of Company, except for information that is required by law to be disclosed:  provided, however, that nothing in this Paragraph 14 shall be construed to prohibit Consultant from operating business in competition with Company.  Consultant shall advise all recipients of Confidential Information as to the provisions of this Paragraph and obtain their commitment to be bound by its conditions, and it is agreed that the provisions of this Paragraph shall survive the termination of this Agreement.</w:t>
      </w:r>
    </w:p>
    <w:p>
      <w:pPr>
        <w:pStyle w:val="Normal"/>
        <w:jc w:val="both"/>
        <w:rPr>
          <w:sz w:val="24"/>
        </w:rPr>
      </w:pPr>
      <w:r>
        <w:rPr>
          <w:sz w:val="24"/>
        </w:rPr>
      </w:r>
    </w:p>
    <w:p>
      <w:pPr>
        <w:pStyle w:val="Normal"/>
        <w:jc w:val="both"/>
        <w:rPr/>
      </w:pPr>
      <w:r>
        <w:rPr>
          <w:sz w:val="24"/>
        </w:rPr>
        <w:t>15.</w:t>
        <w:tab/>
      </w:r>
      <w:r>
        <w:rPr>
          <w:sz w:val="24"/>
          <w:u w:val="single"/>
        </w:rPr>
        <w:t>Governing Law</w:t>
      </w:r>
      <w:r>
        <w:rPr>
          <w:sz w:val="24"/>
        </w:rPr>
        <w:t>.  This Agreement shall be governed by and construed in accordance with the laws of the State of Texas.  Venue shall be proper in Harris County.</w:t>
      </w:r>
    </w:p>
    <w:p>
      <w:pPr>
        <w:pStyle w:val="Normal"/>
        <w:jc w:val="both"/>
        <w:rPr>
          <w:sz w:val="24"/>
        </w:rPr>
      </w:pPr>
      <w:r>
        <w:rPr>
          <w:sz w:val="24"/>
        </w:rPr>
      </w:r>
    </w:p>
    <w:p>
      <w:pPr>
        <w:pStyle w:val="Normal"/>
        <w:jc w:val="both"/>
        <w:rPr/>
      </w:pPr>
      <w:r>
        <w:rPr>
          <w:sz w:val="24"/>
        </w:rPr>
        <w:t>16.</w:t>
        <w:tab/>
      </w:r>
      <w:r>
        <w:rPr>
          <w:sz w:val="24"/>
          <w:u w:val="single"/>
        </w:rPr>
        <w:t>Assignment</w:t>
      </w:r>
      <w:r>
        <w:rPr>
          <w:sz w:val="24"/>
        </w:rPr>
        <w:t>.  Consultant shall not assign this Agreement or subcontract the Services or any part thereof without first having obtained Company’s written approval.  Any transfer or assignment in violation of this provision shall be void.</w:t>
      </w:r>
    </w:p>
    <w:p>
      <w:pPr>
        <w:pStyle w:val="Normal"/>
        <w:jc w:val="both"/>
        <w:rPr>
          <w:sz w:val="24"/>
        </w:rPr>
      </w:pPr>
      <w:r>
        <w:rPr>
          <w:sz w:val="24"/>
        </w:rPr>
      </w:r>
    </w:p>
    <w:p>
      <w:pPr>
        <w:pStyle w:val="Normal"/>
        <w:jc w:val="both"/>
        <w:rPr/>
      </w:pPr>
      <w:r>
        <w:rPr>
          <w:sz w:val="24"/>
        </w:rPr>
        <w:t>17.</w:t>
        <w:tab/>
      </w:r>
      <w:r>
        <w:rPr>
          <w:sz w:val="24"/>
          <w:u w:val="single"/>
        </w:rPr>
        <w:t>Termination by Company</w:t>
      </w:r>
      <w:r>
        <w:rPr>
          <w:sz w:val="24"/>
        </w:rPr>
        <w:t>.  Company may terminate this Agreement, or any Work Order if it reasonably determines Consultant is not performing the Services satisfactorily or Consultant is not in compliance with the terms of this Agreement, at any time by furnishing Consultant seven (7) day’s advance written notice.  In the event of such termination, Company shall pay Consultant for all Services satisfactorily performed through and until the effective date of termination for which Consultant has not previously been paid.  Termination of this Agreement shall not relieve any Party from any obligation accruing or accrued to the date of such termination, nor deprive a Party not in default of any remedy otherwise available to it.</w:t>
      </w:r>
    </w:p>
    <w:p>
      <w:pPr>
        <w:pStyle w:val="Normal"/>
        <w:jc w:val="both"/>
        <w:rPr>
          <w:sz w:val="24"/>
        </w:rPr>
      </w:pPr>
      <w:r>
        <w:rPr>
          <w:sz w:val="24"/>
        </w:rPr>
      </w:r>
    </w:p>
    <w:p>
      <w:pPr>
        <w:pStyle w:val="Normal"/>
        <w:jc w:val="both"/>
        <w:rPr/>
      </w:pPr>
      <w:r>
        <w:rPr>
          <w:sz w:val="24"/>
        </w:rPr>
        <w:t>18.</w:t>
        <w:tab/>
      </w:r>
      <w:r>
        <w:rPr>
          <w:sz w:val="24"/>
          <w:u w:val="single"/>
        </w:rPr>
        <w:t>Permits and Licenses</w:t>
      </w:r>
      <w:r>
        <w:rPr>
          <w:sz w:val="24"/>
        </w:rPr>
        <w:t>.  Consultant shall secure, at its sole expense, all  necessary permits and licenses necessary to the performance and completion of the Services and Consultant shall pay in connection therewith all valid and applicable fees, assessments, or taxes levied by units of government with jurisdiction.</w:t>
      </w:r>
    </w:p>
    <w:p>
      <w:pPr>
        <w:pStyle w:val="Normal"/>
        <w:jc w:val="both"/>
        <w:rPr>
          <w:sz w:val="24"/>
        </w:rPr>
      </w:pPr>
      <w:r>
        <w:rPr>
          <w:sz w:val="24"/>
        </w:rPr>
      </w:r>
    </w:p>
    <w:p>
      <w:pPr>
        <w:pStyle w:val="Normal"/>
        <w:jc w:val="both"/>
        <w:rPr/>
      </w:pPr>
      <w:r>
        <w:rPr>
          <w:sz w:val="24"/>
        </w:rPr>
        <w:t>19.</w:t>
        <w:tab/>
      </w:r>
      <w:r>
        <w:rPr>
          <w:sz w:val="24"/>
          <w:u w:val="single"/>
        </w:rPr>
        <w:t>General</w:t>
      </w:r>
      <w:r>
        <w:rPr>
          <w:sz w:val="24"/>
        </w:rPr>
        <w:t>.  This Agreement contains the entire agreement between the parties and shall not be modified or supplemented except by written instrument duly executed by both parties.  No waiver of any of the provisions of this Agreement shall be deemed or shall constitute a waiver of any other provisions hereof, nor shall any such waiver constitute a continuing waiver.  IN NO EVENT SHALL COMPANY BE LIABLE TO CONSULTANT, ITS AGENTS, VENDORS, OR AFFILIATES, FOR ANY LOSSES SUFFERED BY CONSULTANT, WHETHER DIRECT OR INDIRECT, CONSEQUENTIAL, OR SPECIAL LOSS OR DAMAGE.  COMPANY EXPRESSLY DISCLAIMS WARRANTY AS TO ANY DOCUMENTATION PROVIDED BY COMPANY IN CONNECTION WITH THIS AGREEMENT, INCLUDING BUT NOT LIMITED TO, DRAWINGS, PLANS AND SPECIFICATIONS.</w:t>
      </w:r>
    </w:p>
    <w:p>
      <w:pPr>
        <w:pStyle w:val="Normal"/>
        <w:jc w:val="both"/>
        <w:rPr>
          <w:sz w:val="24"/>
        </w:rPr>
      </w:pPr>
      <w:r>
        <w:rPr>
          <w:sz w:val="24"/>
        </w:rPr>
      </w:r>
    </w:p>
    <w:p>
      <w:pPr>
        <w:pStyle w:val="Normal"/>
        <w:jc w:val="both"/>
        <w:rPr/>
      </w:pPr>
      <w:r>
        <w:rPr>
          <w:sz w:val="24"/>
        </w:rPr>
        <w:t>20.</w:t>
        <w:tab/>
      </w:r>
      <w:r>
        <w:rPr>
          <w:sz w:val="24"/>
          <w:u w:val="single"/>
        </w:rPr>
        <w:t>Exhibits</w:t>
      </w:r>
      <w:r>
        <w:rPr>
          <w:sz w:val="24"/>
        </w:rPr>
        <w:t>.  All exhibits and attachments to this Agreement are a part of this Agreement, as if fully set forth herein.</w:t>
      </w:r>
    </w:p>
    <w:p>
      <w:pPr>
        <w:pStyle w:val="Normal"/>
        <w:jc w:val="both"/>
        <w:rPr>
          <w:sz w:val="24"/>
        </w:rPr>
      </w:pPr>
      <w:r>
        <w:rPr>
          <w:sz w:val="24"/>
        </w:rPr>
      </w:r>
    </w:p>
    <w:p>
      <w:pPr>
        <w:pStyle w:val="Normal"/>
        <w:jc w:val="both"/>
        <w:rPr>
          <w:sz w:val="24"/>
        </w:rPr>
      </w:pPr>
      <w:r>
        <w:rPr>
          <w:sz w:val="24"/>
        </w:rPr>
        <w:t>IN WITNESS WHEREOF, this Agreement is executed on the day and year first above written, but is effective on its Effective Date.</w:t>
      </w:r>
    </w:p>
    <w:p>
      <w:pPr>
        <w:pStyle w:val="Normal"/>
        <w:jc w:val="both"/>
        <w:rPr>
          <w:sz w:val="24"/>
        </w:rPr>
      </w:pPr>
      <w:r>
        <w:rPr>
          <w:sz w:val="24"/>
        </w:rPr>
      </w:r>
    </w:p>
    <w:p>
      <w:pPr>
        <w:pStyle w:val="Normal"/>
        <w:jc w:val="both"/>
        <w:rPr>
          <w:sz w:val="24"/>
        </w:rPr>
      </w:pPr>
      <w:r>
        <w:rPr>
          <w:sz w:val="24"/>
        </w:rPr>
        <w:t>“</w:t>
      </w:r>
      <w:r>
        <w:rPr>
          <w:sz w:val="24"/>
        </w:rPr>
        <w:t>COMPANY’</w:t>
        <w:tab/>
        <w:tab/>
        <w:tab/>
        <w:tab/>
        <w:tab/>
        <w:tab/>
        <w:t>“CONSULTANT’</w:t>
      </w:r>
    </w:p>
    <w:p>
      <w:pPr>
        <w:pStyle w:val="Normal"/>
        <w:jc w:val="both"/>
        <w:rPr>
          <w:sz w:val="24"/>
        </w:rPr>
      </w:pPr>
      <w:r>
        <w:rPr>
          <w:sz w:val="24"/>
        </w:rPr>
      </w:r>
    </w:p>
    <w:p>
      <w:pPr>
        <w:pStyle w:val="Normal"/>
        <w:jc w:val="both"/>
        <w:rPr>
          <w:rFonts w:ascii="Times New Roman Bold" w:hAnsi="Times New Roman Bold" w:cs="Times New Roman Bold"/>
          <w:b/>
          <w:bCs/>
          <w:caps/>
          <w:sz w:val="24"/>
        </w:rPr>
      </w:pPr>
      <w:r>
        <w:rPr>
          <w:rFonts w:cs="Times New Roman Bold" w:ascii="Times New Roman Bold" w:hAnsi="Times New Roman Bold"/>
          <w:b/>
          <w:bCs/>
          <w:caps/>
          <w:sz w:val="24"/>
        </w:rPr>
        <w:t>Enron North America Corp.</w:t>
        <w:tab/>
        <w:tab/>
        <w:t>PROJECT CONSULTING SERVICES, Inc.</w:t>
      </w:r>
    </w:p>
    <w:p>
      <w:pPr>
        <w:pStyle w:val="Normal"/>
        <w:jc w:val="both"/>
        <w:rPr>
          <w:rFonts w:ascii="Times New Roman Bold" w:hAnsi="Times New Roman Bold" w:cs="Times New Roman Bold"/>
          <w:b/>
          <w:bCs/>
          <w:caps/>
          <w:sz w:val="24"/>
        </w:rPr>
      </w:pPr>
      <w:r>
        <w:rPr>
          <w:rFonts w:cs="Times New Roman Bold" w:ascii="Times New Roman Bold" w:hAnsi="Times New Roman Bold"/>
          <w:b/>
          <w:bCs/>
          <w:caps/>
          <w:sz w:val="24"/>
        </w:rPr>
      </w:r>
    </w:p>
    <w:p>
      <w:pPr>
        <w:pStyle w:val="Normal"/>
        <w:jc w:val="both"/>
        <w:rPr>
          <w:sz w:val="24"/>
        </w:rPr>
      </w:pPr>
      <w:r>
        <w:rPr>
          <w:sz w:val="24"/>
        </w:rPr>
        <w:t>____________________________________</w:t>
        <w:tab/>
        <w:t>____________________________________</w:t>
      </w:r>
    </w:p>
    <w:p>
      <w:pPr>
        <w:pStyle w:val="Normal"/>
        <w:jc w:val="both"/>
        <w:rPr>
          <w:sz w:val="24"/>
        </w:rPr>
      </w:pPr>
      <w:r>
        <w:rPr>
          <w:sz w:val="24"/>
        </w:rPr>
        <w:t>By:   Jean M. Mrha</w:t>
        <w:tab/>
        <w:tab/>
        <w:tab/>
        <w:tab/>
        <w:tab/>
        <w:t>By:  _________________________________</w:t>
      </w:r>
    </w:p>
    <w:p>
      <w:pPr>
        <w:pStyle w:val="Normal"/>
        <w:jc w:val="both"/>
        <w:rPr/>
      </w:pPr>
      <w:r>
        <w:rPr>
          <w:sz w:val="24"/>
        </w:rPr>
        <w:t>Title:   Vice President</w:t>
        <w:tab/>
        <w:tab/>
        <w:tab/>
        <w:tab/>
        <w:tab/>
        <w:tab/>
        <w:t>Title:  ___________________________</w:t>
      </w:r>
      <w:r>
        <w:rPr>
          <w:sz w:val="24"/>
          <w:u w:val="single"/>
        </w:rPr>
        <w:tab/>
      </w:r>
      <w:r>
        <w:rPr>
          <w:sz w:val="24"/>
        </w:rPr>
        <w:t>_</w:t>
      </w:r>
    </w:p>
    <w:p>
      <w:pPr>
        <w:sectPr>
          <w:footerReference w:type="default" r:id="rId2"/>
          <w:footerReference w:type="first" r:id="rId3"/>
          <w:type w:val="nextPage"/>
          <w:pgSz w:w="12240" w:h="15840"/>
          <w:pgMar w:left="1008" w:right="1008" w:gutter="0" w:header="0" w:top="1008" w:footer="720" w:bottom="1008"/>
          <w:pgNumType w:fmt="decimal"/>
          <w:formProt w:val="false"/>
          <w:titlePg/>
          <w:textDirection w:val="lrTb"/>
          <w:docGrid w:type="default" w:linePitch="360" w:charSpace="0"/>
        </w:sectPr>
        <w:pStyle w:val="Normal"/>
        <w:ind w:firstLine="720" w:start="2160" w:end="0"/>
        <w:jc w:val="both"/>
        <w:rPr>
          <w:sz w:val="24"/>
        </w:rPr>
      </w:pPr>
      <w:r>
        <w:rPr>
          <w:sz w:val="24"/>
        </w:rPr>
        <w:tab/>
        <w:tab/>
        <w:tab/>
        <w:t>Consultant’s Tax Identification No.___________</w:t>
      </w:r>
    </w:p>
    <w:p>
      <w:pPr>
        <w:pStyle w:val="Normal"/>
        <w:jc w:val="center"/>
        <w:rPr>
          <w:sz w:val="24"/>
        </w:rPr>
      </w:pPr>
      <w:r>
        <w:rPr>
          <w:sz w:val="24"/>
        </w:rPr>
        <w:t>Exhibit “A”</w:t>
      </w:r>
    </w:p>
    <w:p>
      <w:pPr>
        <w:pStyle w:val="Normal"/>
        <w:jc w:val="center"/>
        <w:rPr>
          <w:sz w:val="24"/>
        </w:rPr>
      </w:pPr>
      <w:r>
        <w:rPr>
          <w:sz w:val="24"/>
        </w:rPr>
      </w:r>
    </w:p>
    <w:p>
      <w:pPr>
        <w:pStyle w:val="Heading2"/>
        <w:ind w:hanging="0" w:start="0"/>
        <w:rPr>
          <w:rFonts w:ascii="Times New Roman" w:hAnsi="Times New Roman" w:cs="Times New Roman"/>
          <w:sz w:val="24"/>
        </w:rPr>
      </w:pPr>
      <w:r>
        <w:rPr>
          <w:rFonts w:cs="Times New Roman" w:ascii="Times New Roman" w:hAnsi="Times New Roman"/>
          <w:sz w:val="24"/>
        </w:rPr>
        <w:t>WORK ORDER</w:t>
      </w:r>
    </w:p>
    <w:p>
      <w:pPr>
        <w:pStyle w:val="Normal"/>
        <w:jc w:val="both"/>
        <w:rPr>
          <w:rFonts w:ascii="Times New Roman" w:hAnsi="Times New Roman" w:cs="Times New Roman"/>
          <w:sz w:val="24"/>
        </w:rPr>
      </w:pPr>
      <w:r>
        <w:rPr>
          <w:rFonts w:cs="Times New Roman"/>
          <w:sz w:val="24"/>
        </w:rPr>
      </w:r>
    </w:p>
    <w:p>
      <w:pPr>
        <w:pStyle w:val="Normal"/>
        <w:jc w:val="both"/>
        <w:rPr>
          <w:sz w:val="24"/>
        </w:rPr>
      </w:pPr>
      <w:r>
        <w:rPr>
          <w:sz w:val="24"/>
        </w:rPr>
        <w:t>Agreement No. ___________</w:t>
      </w:r>
    </w:p>
    <w:p>
      <w:pPr>
        <w:pStyle w:val="Normal"/>
        <w:jc w:val="both"/>
        <w:rPr>
          <w:sz w:val="24"/>
        </w:rPr>
      </w:pPr>
      <w:r>
        <w:rPr>
          <w:sz w:val="24"/>
        </w:rPr>
        <w:t>Work Order No. ___________</w:t>
      </w:r>
    </w:p>
    <w:p>
      <w:pPr>
        <w:pStyle w:val="Normal"/>
        <w:jc w:val="both"/>
        <w:rPr>
          <w:sz w:val="24"/>
        </w:rPr>
      </w:pPr>
      <w:r>
        <w:rPr>
          <w:sz w:val="24"/>
        </w:rPr>
      </w:r>
    </w:p>
    <w:p>
      <w:pPr>
        <w:pStyle w:val="Normal"/>
        <w:jc w:val="both"/>
        <w:rPr>
          <w:sz w:val="24"/>
        </w:rPr>
      </w:pPr>
      <w:r>
        <w:rPr>
          <w:sz w:val="24"/>
        </w:rPr>
        <w:t>Enron North America Corp. (“Company”) hereby issues the following written description of the Work Order heretofore verbally agreed to between Company and Project Consulting Services, Inc. (“Consultant”) pursuant to the terms of Section 3 of that certain Agreement For Services (the “Agreement”) dated October ____, 2000 by and between Company and Consultant.  Consultant has agreed to perform for Company pursuant to the terms, conditions, and provisions of the Agreement, the following described Services, and shall furnish labor, technical capability, tools, equipment, transportation, materials, and other facilities and items necessary or convenient to complete the following work as further described and specified in the Specifications and/or Drawing attached hereto, if any, and by this reference made a part of this Work Order (“the Services”).</w:t>
      </w:r>
    </w:p>
    <w:p>
      <w:pPr>
        <w:pStyle w:val="Normal"/>
        <w:jc w:val="both"/>
        <w:rPr>
          <w:sz w:val="24"/>
        </w:rPr>
      </w:pPr>
      <w:r>
        <w:rPr>
          <w:sz w:val="24"/>
        </w:rPr>
      </w:r>
    </w:p>
    <w:p>
      <w:pPr>
        <w:pStyle w:val="Normal"/>
        <w:jc w:val="both"/>
        <w:rPr>
          <w:sz w:val="24"/>
        </w:rPr>
      </w:pPr>
      <w:r>
        <w:rPr>
          <w:sz w:val="24"/>
        </w:rPr>
        <w:t>1.</w:t>
        <w:tab/>
        <w:t>Project Name/Description of Services:</w:t>
      </w:r>
    </w:p>
    <w:p>
      <w:pPr>
        <w:pStyle w:val="Normal"/>
        <w:jc w:val="both"/>
        <w:rPr>
          <w:sz w:val="24"/>
        </w:rPr>
      </w:pPr>
      <w:r>
        <w:rPr>
          <w:sz w:val="24"/>
        </w:rPr>
      </w:r>
    </w:p>
    <w:p>
      <w:pPr>
        <w:pStyle w:val="Normal"/>
        <w:jc w:val="both"/>
        <w:rPr>
          <w:sz w:val="24"/>
        </w:rPr>
      </w:pPr>
      <w:r>
        <w:rPr>
          <w:sz w:val="24"/>
        </w:rPr>
      </w:r>
    </w:p>
    <w:p>
      <w:pPr>
        <w:pStyle w:val="Normal"/>
        <w:pBdr>
          <w:top w:val="single" w:sz="12" w:space="1" w:color="000000"/>
          <w:bottom w:val="single" w:sz="12" w:space="1" w:color="000000"/>
        </w:pBdr>
        <w:jc w:val="both"/>
        <w:rPr>
          <w:sz w:val="24"/>
        </w:rPr>
      </w:pPr>
      <w:r>
        <w:rPr>
          <w:sz w:val="24"/>
        </w:rPr>
      </w:r>
    </w:p>
    <w:p>
      <w:pPr>
        <w:pStyle w:val="Normal"/>
        <w:pBdr>
          <w:top w:val="single" w:sz="12" w:space="1" w:color="000000"/>
          <w:bottom w:val="single" w:sz="12" w:space="1" w:color="000000"/>
        </w:pBdr>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2.</w:t>
        <w:tab/>
        <w:t>Company shall furnish the following information to assist Consultant provide the Services:</w:t>
      </w:r>
    </w:p>
    <w:p>
      <w:pPr>
        <w:pStyle w:val="Normal"/>
        <w:jc w:val="both"/>
        <w:rPr>
          <w:sz w:val="24"/>
        </w:rPr>
      </w:pPr>
      <w:r>
        <w:rPr>
          <w:sz w:val="24"/>
        </w:rPr>
      </w:r>
    </w:p>
    <w:p>
      <w:pPr>
        <w:pStyle w:val="Normal"/>
        <w:jc w:val="both"/>
        <w:rPr>
          <w:sz w:val="24"/>
        </w:rPr>
      </w:pPr>
      <w:r>
        <w:rPr>
          <w:sz w:val="24"/>
        </w:rPr>
      </w:r>
    </w:p>
    <w:p>
      <w:pPr>
        <w:pStyle w:val="Normal"/>
        <w:pBdr>
          <w:top w:val="single" w:sz="12" w:space="1" w:color="000000"/>
          <w:bottom w:val="single" w:sz="12" w:space="1" w:color="000000"/>
        </w:pBdr>
        <w:jc w:val="both"/>
        <w:rPr>
          <w:sz w:val="24"/>
        </w:rPr>
      </w:pPr>
      <w:r>
        <w:rPr>
          <w:sz w:val="24"/>
        </w:rPr>
      </w:r>
    </w:p>
    <w:p>
      <w:pPr>
        <w:pStyle w:val="Normal"/>
        <w:pBdr>
          <w:top w:val="single" w:sz="12" w:space="1" w:color="000000"/>
          <w:bottom w:val="single" w:sz="12" w:space="1" w:color="000000"/>
        </w:pBdr>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3.</w:t>
        <w:tab/>
        <w:t>The Work shall be performed at the following location(s):</w:t>
      </w:r>
    </w:p>
    <w:p>
      <w:pPr>
        <w:pStyle w:val="Normal"/>
        <w:jc w:val="both"/>
        <w:rPr>
          <w:sz w:val="24"/>
        </w:rPr>
      </w:pPr>
      <w:r>
        <w:rPr>
          <w:sz w:val="24"/>
        </w:rPr>
      </w:r>
    </w:p>
    <w:p>
      <w:pPr>
        <w:pStyle w:val="Normal"/>
        <w:jc w:val="both"/>
        <w:rPr>
          <w:sz w:val="24"/>
        </w:rPr>
      </w:pPr>
      <w:r>
        <w:rPr>
          <w:sz w:val="24"/>
        </w:rPr>
      </w:r>
    </w:p>
    <w:p>
      <w:pPr>
        <w:pStyle w:val="Normal"/>
        <w:pBdr>
          <w:top w:val="single" w:sz="12" w:space="1" w:color="000000"/>
          <w:bottom w:val="single" w:sz="12" w:space="1" w:color="000000"/>
        </w:pBdr>
        <w:jc w:val="both"/>
        <w:rPr>
          <w:sz w:val="24"/>
        </w:rPr>
      </w:pPr>
      <w:r>
        <w:rPr>
          <w:sz w:val="24"/>
        </w:rPr>
      </w:r>
    </w:p>
    <w:p>
      <w:pPr>
        <w:pStyle w:val="Normal"/>
        <w:pBdr>
          <w:top w:val="single" w:sz="12" w:space="1" w:color="000000"/>
          <w:bottom w:val="single" w:sz="12" w:space="1" w:color="000000"/>
        </w:pBdr>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4.</w:t>
        <w:tab/>
        <w:t>Consultant shall commence the Services on or by _______________________, and shall continue the Work until notified by Company of completion.</w:t>
      </w:r>
    </w:p>
    <w:p>
      <w:pPr>
        <w:pStyle w:val="Normal"/>
        <w:jc w:val="both"/>
        <w:rPr>
          <w:sz w:val="24"/>
        </w:rPr>
      </w:pPr>
      <w:r>
        <w:rPr>
          <w:sz w:val="24"/>
        </w:rPr>
      </w:r>
    </w:p>
    <w:p>
      <w:pPr>
        <w:pStyle w:val="Normal"/>
        <w:jc w:val="both"/>
        <w:rPr>
          <w:sz w:val="24"/>
        </w:rPr>
      </w:pPr>
      <w:r>
        <w:rPr>
          <w:sz w:val="24"/>
        </w:rPr>
        <w:t>5.</w:t>
        <w:tab/>
        <w:t>Consultant offers to complete the Services in accordance with the Agreement for the following consideration, which shall constitute full and complete payment therefor:</w:t>
      </w:r>
    </w:p>
    <w:p>
      <w:pPr>
        <w:pStyle w:val="Normal"/>
        <w:jc w:val="both"/>
        <w:rPr>
          <w:sz w:val="24"/>
        </w:rPr>
      </w:pPr>
      <w:r>
        <w:rPr>
          <w:sz w:val="24"/>
        </w:rPr>
      </w:r>
    </w:p>
    <w:p>
      <w:pPr>
        <w:pStyle w:val="Normal"/>
        <w:jc w:val="both"/>
        <w:rPr>
          <w:sz w:val="24"/>
        </w:rPr>
      </w:pPr>
      <w:r>
        <w:rPr>
          <w:sz w:val="24"/>
        </w:rPr>
        <w:t>[   ]    (a)</w:t>
        <w:tab/>
        <w:t>the total lump sum amount of $___________; or</w:t>
      </w:r>
    </w:p>
    <w:p>
      <w:pPr>
        <w:pStyle w:val="Normal"/>
        <w:jc w:val="both"/>
        <w:rPr>
          <w:sz w:val="24"/>
        </w:rPr>
      </w:pPr>
      <w:r>
        <w:rPr>
          <w:sz w:val="24"/>
        </w:rPr>
        <w:t>[   ]    (b)</w:t>
        <w:tab/>
        <w:t>in accordance with the Price Schedule, Exhibit “B” to the Agreement.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6.</w:t>
        <w:tab/>
        <w:t>Consultant shall submit invoices to:</w:t>
      </w:r>
    </w:p>
    <w:p>
      <w:pPr>
        <w:pStyle w:val="Normal"/>
        <w:jc w:val="both"/>
        <w:rPr>
          <w:sz w:val="24"/>
        </w:rPr>
      </w:pPr>
      <w:r>
        <w:rPr>
          <w:sz w:val="24"/>
        </w:rPr>
      </w:r>
    </w:p>
    <w:p>
      <w:pPr>
        <w:pStyle w:val="Normal"/>
        <w:pBdr>
          <w:top w:val="single" w:sz="12" w:space="1" w:color="000000"/>
          <w:bottom w:val="single" w:sz="12" w:space="1" w:color="000000"/>
        </w:pBdr>
        <w:jc w:val="both"/>
        <w:rPr>
          <w:sz w:val="24"/>
        </w:rPr>
      </w:pPr>
      <w:r>
        <w:rPr>
          <w:sz w:val="24"/>
        </w:rPr>
      </w:r>
    </w:p>
    <w:p>
      <w:pPr>
        <w:pStyle w:val="BodyTextIndent"/>
        <w:ind w:start="0" w:end="0"/>
        <w:jc w:val="both"/>
        <w:rPr>
          <w:rFonts w:ascii="Times New Roman" w:hAnsi="Times New Roman" w:cs="Times New Roman"/>
          <w:sz w:val="24"/>
        </w:rPr>
      </w:pPr>
      <w:r>
        <w:rPr>
          <w:rFonts w:cs="Times New Roman" w:ascii="Times New Roman" w:hAnsi="Times New Roman"/>
          <w:sz w:val="24"/>
        </w:rPr>
        <w:t>INVOICES MUST CLEARLY INDICATE THE AGREEMENT NUMBER AND THE WORK OFFER NUMBER.</w:t>
      </w:r>
    </w:p>
    <w:p>
      <w:pPr>
        <w:pStyle w:val="Normal"/>
        <w:jc w:val="both"/>
        <w:rPr>
          <w:rFonts w:ascii="Times New Roman" w:hAnsi="Times New Roman" w:cs="Times New Roman"/>
          <w:sz w:val="24"/>
          <w:u w:val="single"/>
        </w:rPr>
      </w:pPr>
      <w:r>
        <w:rPr>
          <w:rFonts w:cs="Times New Roman"/>
          <w:sz w:val="24"/>
          <w:u w:val="single"/>
        </w:rPr>
      </w:r>
    </w:p>
    <w:p>
      <w:pPr>
        <w:pStyle w:val="BodyTextIndent2"/>
        <w:ind w:start="0" w:end="0"/>
        <w:jc w:val="both"/>
        <w:rPr>
          <w:rFonts w:ascii="Times New Roman" w:hAnsi="Times New Roman" w:cs="Times New Roman"/>
          <w:sz w:val="24"/>
        </w:rPr>
      </w:pPr>
      <w:r>
        <w:rPr>
          <w:rFonts w:cs="Times New Roman" w:ascii="Times New Roman" w:hAnsi="Times New Roman"/>
          <w:sz w:val="24"/>
        </w:rPr>
        <w:t>This Work Order Proposal is hereby delivered by Company to Consultant as of the ______ day of ___________, 20___.</w:t>
      </w:r>
    </w:p>
    <w:p>
      <w:pPr>
        <w:pStyle w:val="Normal"/>
        <w:jc w:val="both"/>
        <w:rPr>
          <w:rFonts w:ascii="Times New Roman" w:hAnsi="Times New Roman" w:cs="Times New Roman"/>
          <w:sz w:val="24"/>
        </w:rPr>
      </w:pPr>
      <w:r>
        <w:rPr>
          <w:rFonts w:cs="Times New Roman"/>
          <w:sz w:val="24"/>
        </w:rPr>
      </w:r>
    </w:p>
    <w:p>
      <w:pPr>
        <w:pStyle w:val="Normal"/>
        <w:jc w:val="both"/>
        <w:rPr>
          <w:sz w:val="24"/>
        </w:rPr>
      </w:pPr>
      <w:r>
        <w:rPr>
          <w:sz w:val="24"/>
        </w:rPr>
        <w:t>Enron North America Corp.</w:t>
      </w:r>
    </w:p>
    <w:p>
      <w:pPr>
        <w:pStyle w:val="Normal"/>
        <w:jc w:val="both"/>
        <w:rPr>
          <w:sz w:val="24"/>
        </w:rPr>
      </w:pPr>
      <w:r>
        <w:rPr>
          <w:sz w:val="24"/>
        </w:rPr>
      </w:r>
    </w:p>
    <w:p>
      <w:pPr>
        <w:pStyle w:val="Normal"/>
        <w:jc w:val="both"/>
        <w:rPr>
          <w:sz w:val="24"/>
        </w:rPr>
      </w:pPr>
      <w:r>
        <w:rPr>
          <w:sz w:val="24"/>
        </w:rPr>
        <w:t>By: ________________________________</w:t>
      </w:r>
    </w:p>
    <w:p>
      <w:pPr>
        <w:pStyle w:val="Normal"/>
        <w:jc w:val="both"/>
        <w:rPr>
          <w:sz w:val="24"/>
        </w:rPr>
      </w:pPr>
      <w:r>
        <w:rPr>
          <w:sz w:val="24"/>
        </w:rPr>
        <w:t>Its  ________________________________</w:t>
      </w:r>
    </w:p>
    <w:p>
      <w:pPr>
        <w:pStyle w:val="Normal"/>
        <w:jc w:val="both"/>
        <w:rPr>
          <w:sz w:val="24"/>
        </w:rPr>
      </w:pPr>
      <w:r>
        <w:rPr>
          <w:sz w:val="24"/>
        </w:rPr>
      </w:r>
    </w:p>
    <w:p>
      <w:pPr>
        <w:pStyle w:val="Normal"/>
        <w:jc w:val="both"/>
        <w:rPr>
          <w:sz w:val="24"/>
        </w:rPr>
      </w:pPr>
      <w:r>
        <w:rPr>
          <w:sz w:val="24"/>
        </w:rPr>
        <w:t xml:space="preserve">Receipt Acknowledged </w:t>
      </w:r>
    </w:p>
    <w:p>
      <w:pPr>
        <w:pStyle w:val="Normal"/>
        <w:jc w:val="both"/>
        <w:rPr>
          <w:sz w:val="24"/>
        </w:rPr>
      </w:pPr>
      <w:r>
        <w:rPr>
          <w:sz w:val="24"/>
        </w:rPr>
        <w:t>this ________ day of ______________, 20___</w:t>
      </w:r>
    </w:p>
    <w:p>
      <w:pPr>
        <w:pStyle w:val="Normal"/>
        <w:jc w:val="both"/>
        <w:rPr>
          <w:sz w:val="24"/>
        </w:rPr>
      </w:pPr>
      <w:r>
        <w:rPr>
          <w:sz w:val="24"/>
        </w:rPr>
      </w:r>
    </w:p>
    <w:p>
      <w:pPr>
        <w:pStyle w:val="Normal"/>
        <w:jc w:val="both"/>
        <w:rPr>
          <w:sz w:val="24"/>
        </w:rPr>
      </w:pPr>
      <w:r>
        <w:rPr>
          <w:sz w:val="24"/>
        </w:rPr>
        <w:t>Project Consulting Services, Inc.</w:t>
      </w:r>
    </w:p>
    <w:p>
      <w:pPr>
        <w:pStyle w:val="Normal"/>
        <w:jc w:val="both"/>
        <w:rPr>
          <w:sz w:val="24"/>
        </w:rPr>
      </w:pPr>
      <w:r>
        <w:rPr>
          <w:sz w:val="24"/>
        </w:rPr>
      </w:r>
    </w:p>
    <w:p>
      <w:pPr>
        <w:pStyle w:val="Normal"/>
        <w:jc w:val="both"/>
        <w:rPr>
          <w:sz w:val="24"/>
        </w:rPr>
      </w:pPr>
      <w:r>
        <w:rPr>
          <w:sz w:val="24"/>
        </w:rPr>
        <w:t>By: _______________________________</w:t>
      </w:r>
    </w:p>
    <w:p>
      <w:pPr>
        <w:pStyle w:val="Normal"/>
        <w:jc w:val="both"/>
        <w:rPr>
          <w:sz w:val="24"/>
        </w:rPr>
      </w:pPr>
      <w:r>
        <w:rPr>
          <w:sz w:val="24"/>
        </w:rPr>
        <w:t>Its   ______________________________</w:t>
      </w:r>
    </w:p>
    <w:p>
      <w:pPr>
        <w:pStyle w:val="Normal"/>
        <w:jc w:val="both"/>
        <w:rPr>
          <w:sz w:val="24"/>
        </w:rPr>
      </w:pPr>
      <w:r>
        <w:rPr>
          <w:sz w:val="24"/>
        </w:rPr>
      </w:r>
    </w:p>
    <w:p>
      <w:pPr>
        <w:sectPr>
          <w:footerReference w:type="default" r:id="rId4"/>
          <w:footerReference w:type="first" r:id="rId5"/>
          <w:type w:val="nextPage"/>
          <w:pgSz w:w="12240" w:h="15840"/>
          <w:pgMar w:left="1008" w:right="1008" w:gutter="0" w:header="0" w:top="1008" w:footer="720" w:bottom="1008"/>
          <w:pgNumType w:start="1" w:fmt="decimal"/>
          <w:formProt w:val="false"/>
          <w:textDirection w:val="lrTb"/>
          <w:docGrid w:type="default" w:linePitch="360" w:charSpace="0"/>
        </w:sectPr>
        <w:pStyle w:val="Normal"/>
        <w:jc w:val="both"/>
        <w:rPr>
          <w:sz w:val="24"/>
        </w:rPr>
      </w:pPr>
      <w:r>
        <w:rPr>
          <w:sz w:val="24"/>
        </w:rPr>
      </w:r>
    </w:p>
    <w:p>
      <w:pPr>
        <w:pStyle w:val="Heading1"/>
        <w:ind w:start="0" w:end="0"/>
        <w:rPr>
          <w:rFonts w:ascii="Times New Roman" w:hAnsi="Times New Roman" w:cs="Times New Roman"/>
          <w:sz w:val="24"/>
          <w:u w:val="none"/>
        </w:rPr>
      </w:pPr>
      <w:r>
        <w:rPr>
          <w:rFonts w:cs="Times New Roman" w:ascii="Times New Roman" w:hAnsi="Times New Roman"/>
          <w:sz w:val="24"/>
          <w:u w:val="none"/>
        </w:rPr>
        <w:t>Exhibit “B”</w:t>
      </w:r>
    </w:p>
    <w:p>
      <w:pPr>
        <w:pStyle w:val="Normal"/>
        <w:jc w:val="center"/>
        <w:rPr>
          <w:rFonts w:ascii="Times New Roman" w:hAnsi="Times New Roman" w:cs="Times New Roman"/>
          <w:sz w:val="24"/>
          <w:u w:val="single"/>
        </w:rPr>
      </w:pPr>
      <w:r>
        <w:rPr>
          <w:rFonts w:cs="Times New Roman"/>
          <w:sz w:val="24"/>
          <w:u w:val="single"/>
        </w:rPr>
      </w:r>
    </w:p>
    <w:p>
      <w:pPr>
        <w:pStyle w:val="Heading2"/>
        <w:ind w:hanging="0" w:start="0"/>
        <w:rPr>
          <w:rFonts w:ascii="Times New Roman" w:hAnsi="Times New Roman" w:cs="Times New Roman"/>
          <w:sz w:val="24"/>
        </w:rPr>
      </w:pPr>
      <w:r>
        <w:rPr>
          <w:rFonts w:cs="Times New Roman" w:ascii="Times New Roman" w:hAnsi="Times New Roman"/>
          <w:sz w:val="24"/>
        </w:rPr>
        <w:t>PRICE SCHEDULE</w:t>
      </w:r>
    </w:p>
    <w:p>
      <w:pPr>
        <w:pStyle w:val="Normal"/>
        <w:jc w:val="both"/>
        <w:rPr>
          <w:rFonts w:ascii="Times New Roman" w:hAnsi="Times New Roman" w:cs="Times New Roman"/>
          <w:sz w:val="24"/>
        </w:rPr>
      </w:pPr>
      <w:r>
        <w:rPr>
          <w:rFonts w:cs="Times New Roman"/>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Services based on hourly performance shall be charged at rates as quoted by Consultant to Company on the following pages entitled "Project Consulting Services – Rate Sheet."</w:t>
      </w:r>
    </w:p>
    <w:p>
      <w:pPr>
        <w:sectPr>
          <w:footerReference w:type="default" r:id="rId6"/>
          <w:footerReference w:type="first" r:id="rId7"/>
          <w:type w:val="nextPage"/>
          <w:pgSz w:w="12240" w:h="15840"/>
          <w:pgMar w:left="1008" w:right="1008" w:gutter="0" w:header="0" w:top="1008" w:footer="720" w:bottom="1008"/>
          <w:pgNumType w:start="1" w:fmt="decimal"/>
          <w:formProt w:val="false"/>
          <w:textDirection w:val="lrTb"/>
          <w:docGrid w:type="default" w:linePitch="360" w:charSpace="0"/>
        </w:sectPr>
        <w:pStyle w:val="Normal"/>
        <w:jc w:val="both"/>
        <w:rPr>
          <w:sz w:val="24"/>
        </w:rPr>
      </w:pPr>
      <w:r>
        <w:rPr>
          <w:sz w:val="24"/>
        </w:rPr>
      </w:r>
    </w:p>
    <w:p>
      <w:pPr>
        <w:pStyle w:val="Normal"/>
        <w:jc w:val="center"/>
        <w:rPr>
          <w:sz w:val="24"/>
        </w:rPr>
      </w:pPr>
      <w:r>
        <w:rPr>
          <w:sz w:val="24"/>
        </w:rPr>
        <w:t>Exhibit “C”</w:t>
      </w:r>
    </w:p>
    <w:p>
      <w:pPr>
        <w:pStyle w:val="Normal"/>
        <w:jc w:val="center"/>
        <w:rPr>
          <w:sz w:val="24"/>
        </w:rPr>
      </w:pPr>
      <w:r>
        <w:rPr>
          <w:sz w:val="24"/>
        </w:rPr>
      </w:r>
    </w:p>
    <w:p>
      <w:pPr>
        <w:pStyle w:val="Heading1"/>
        <w:ind w:start="0" w:end="0"/>
        <w:rPr>
          <w:rFonts w:ascii="Times New Roman" w:hAnsi="Times New Roman" w:cs="Times New Roman"/>
          <w:sz w:val="24"/>
        </w:rPr>
      </w:pPr>
      <w:r>
        <w:rPr>
          <w:rFonts w:cs="Times New Roman" w:ascii="Times New Roman" w:hAnsi="Times New Roman"/>
          <w:sz w:val="24"/>
        </w:rPr>
        <w:t>CONFIDENTIAL INFORMATION</w:t>
      </w:r>
    </w:p>
    <w:p>
      <w:pPr>
        <w:pStyle w:val="Normal"/>
        <w:jc w:val="both"/>
        <w:rPr>
          <w:rFonts w:ascii="Times New Roman" w:hAnsi="Times New Roman" w:cs="Times New Roman"/>
          <w:sz w:val="24"/>
        </w:rPr>
      </w:pPr>
      <w:r>
        <w:rPr>
          <w:rFonts w:cs="Times New Roman"/>
          <w:sz w:val="24"/>
        </w:rPr>
      </w:r>
    </w:p>
    <w:p>
      <w:pPr>
        <w:pStyle w:val="Normal"/>
        <w:jc w:val="both"/>
        <w:rPr>
          <w:sz w:val="24"/>
        </w:rPr>
      </w:pPr>
      <w:r>
        <w:rPr>
          <w:sz w:val="24"/>
        </w:rPr>
        <w:t>For the purposes of this Agreement, “Confidential Information” means all information in whatever form transmitted relating to past, present, or future business affairs, including without limitation, research, development, equipment, or future business plans, operations or systems, of Company or another person whose information Company has or may have in its possession under obligations of confidentiality which (a) is disclosed by Company or its affiliates to consultant or its affiliates, bearing an appropriate legend indicating its confidential or proprietary nature (b) which would, if disclosed to competitors of Company, give or increase such competitors’ advantage over Company or diminish Company advantage over its competitors.  Company agrees that whenever it transmits Confidential Information to Consultant, it shall reference the confidential nature of such information in its transmittal notice or letter.</w:t>
      </w:r>
    </w:p>
    <w:p>
      <w:pPr>
        <w:pStyle w:val="Normal"/>
        <w:jc w:val="both"/>
        <w:rPr>
          <w:sz w:val="24"/>
        </w:rPr>
      </w:pPr>
      <w:r>
        <w:rPr>
          <w:sz w:val="24"/>
        </w:rPr>
      </w:r>
    </w:p>
    <w:p>
      <w:pPr>
        <w:pStyle w:val="Normal"/>
        <w:jc w:val="both"/>
        <w:rPr>
          <w:sz w:val="24"/>
        </w:rPr>
      </w:pPr>
      <w:r>
        <w:rPr>
          <w:sz w:val="24"/>
        </w:rPr>
        <w:t>Confidential Information shall not include any information that:  (a) is already know to Consultant at the time of its disclosure; (b) is or becomes publicly known through no wrongful act of Consultant; (c) is received from a third party free to disclose it to Consultant; (d) is independently developed by Consultant; (e) is communicated to a third party with express written consent of Company; or (f) is lawfully required to be disclosed to any governmental agency or is otherwise required to be disclosed by law, provided that before making such disclosure Consultant shall give Company an adequate opportunity to interpose an objection or take action to assure confidential handling of such information.</w:t>
      </w:r>
    </w:p>
    <w:p>
      <w:pPr>
        <w:pStyle w:val="Normal"/>
        <w:jc w:val="both"/>
        <w:rPr>
          <w:sz w:val="24"/>
        </w:rPr>
      </w:pPr>
      <w:r>
        <w:rPr>
          <w:sz w:val="24"/>
        </w:rPr>
      </w:r>
    </w:p>
    <w:p>
      <w:pPr>
        <w:pStyle w:val="Normal"/>
        <w:jc w:val="both"/>
        <w:rPr/>
      </w:pPr>
      <w:r>
        <w:rPr>
          <w:sz w:val="24"/>
        </w:rPr>
        <w:t xml:space="preserve">For a period of five (5) years from the date of disclosure to Consultant, Consultant shall not disclose any Confidential Information it receives from Company to any person or entity except employees of Consultant or its Affiliates, as defined below, who have a need to know and who have been informed of Consultant’s obligations under this </w:t>
      </w:r>
      <w:r>
        <w:rPr>
          <w:sz w:val="24"/>
          <w:u w:val="single"/>
        </w:rPr>
        <w:t>Exhibit C</w:t>
      </w:r>
      <w:r>
        <w:rPr>
          <w:sz w:val="24"/>
        </w:rPr>
        <w:t>.  Consultant shall use the same degree of care to avoid disclosure of such Confidential Information as Consultant affords its own confidential information of like importance.</w:t>
      </w:r>
    </w:p>
    <w:p>
      <w:pPr>
        <w:pStyle w:val="Normal"/>
        <w:jc w:val="both"/>
        <w:rPr>
          <w:sz w:val="24"/>
        </w:rPr>
      </w:pPr>
      <w:r>
        <w:rPr>
          <w:sz w:val="24"/>
        </w:rPr>
      </w:r>
    </w:p>
    <w:p>
      <w:pPr>
        <w:pStyle w:val="Normal"/>
        <w:jc w:val="both"/>
        <w:rPr/>
      </w:pPr>
      <w:r>
        <w:rPr>
          <w:sz w:val="24"/>
        </w:rPr>
        <w:t xml:space="preserve">All Confidential Information disclosed by Company to Consultant under this </w:t>
      </w:r>
      <w:r>
        <w:rPr>
          <w:sz w:val="24"/>
          <w:u w:val="single"/>
        </w:rPr>
        <w:t>Exhibit C</w:t>
      </w:r>
      <w:r>
        <w:rPr>
          <w:sz w:val="24"/>
        </w:rPr>
        <w:t xml:space="preserve"> in tangible form (including, without limitation, information incorporated in computer software or held in electronic storage media) shall be and remain the property of Company.  Confidential Information shall be promptly returned or destroyed on Company request and shall not be thereafter be retained in any form by Consultant.  The rights and obligations of the parties under </w:t>
      </w:r>
      <w:r>
        <w:rPr>
          <w:sz w:val="24"/>
          <w:u w:val="single"/>
        </w:rPr>
        <w:t>Exhibit C</w:t>
      </w:r>
      <w:r>
        <w:rPr>
          <w:sz w:val="24"/>
        </w:rPr>
        <w:t xml:space="preserve"> shall survive any such return of Confidential Information.</w:t>
      </w:r>
    </w:p>
    <w:p>
      <w:pPr>
        <w:pStyle w:val="Normal"/>
        <w:jc w:val="both"/>
        <w:rPr>
          <w:sz w:val="24"/>
        </w:rPr>
      </w:pPr>
      <w:r>
        <w:rPr>
          <w:sz w:val="24"/>
        </w:rPr>
      </w:r>
    </w:p>
    <w:p>
      <w:pPr>
        <w:pStyle w:val="Normal"/>
        <w:jc w:val="both"/>
        <w:rPr/>
      </w:pPr>
      <w:r>
        <w:rPr>
          <w:sz w:val="24"/>
        </w:rPr>
        <w:t xml:space="preserve">The parties agree that in the event of a breach or threatened breach of the terms of this </w:t>
      </w:r>
      <w:r>
        <w:rPr>
          <w:sz w:val="24"/>
          <w:u w:val="single"/>
        </w:rPr>
        <w:t>Exhibit C</w:t>
      </w:r>
      <w:r>
        <w:rPr>
          <w:sz w:val="24"/>
        </w:rPr>
        <w:t xml:space="preserve">, Company shall be entitled to an injunction prohibiting any such breach.  Any such relief shall be in addition to and not in lieu of any appropriate relief in the way of money damages.  The parties acknowledge that Confidential Information is valuable and unique and that disclosure in breach of this </w:t>
      </w:r>
      <w:r>
        <w:rPr>
          <w:sz w:val="24"/>
          <w:u w:val="single"/>
        </w:rPr>
        <w:t>Exhibit C</w:t>
      </w:r>
      <w:r>
        <w:rPr>
          <w:sz w:val="24"/>
        </w:rPr>
        <w:t xml:space="preserve"> will result in irreparable injury to Company.</w:t>
      </w:r>
    </w:p>
    <w:p>
      <w:pPr>
        <w:pStyle w:val="Normal"/>
        <w:jc w:val="both"/>
        <w:rPr>
          <w:sz w:val="24"/>
        </w:rPr>
      </w:pPr>
      <w:r>
        <w:rPr>
          <w:sz w:val="24"/>
        </w:rPr>
      </w:r>
    </w:p>
    <w:p>
      <w:pPr>
        <w:sectPr>
          <w:footerReference w:type="default" r:id="rId8"/>
          <w:footerReference w:type="first" r:id="rId9"/>
          <w:type w:val="nextPage"/>
          <w:pgSz w:w="12240" w:h="15840"/>
          <w:pgMar w:left="1008" w:right="1008" w:gutter="0" w:header="0" w:top="1008" w:footer="720" w:bottom="1008"/>
          <w:pgNumType w:start="1" w:fmt="decimal"/>
          <w:formProt w:val="false"/>
          <w:textDirection w:val="lrTb"/>
          <w:docGrid w:type="default" w:linePitch="360" w:charSpace="0"/>
        </w:sectPr>
        <w:pStyle w:val="Normal"/>
        <w:rPr>
          <w:sz w:val="24"/>
        </w:rPr>
      </w:pPr>
      <w:r>
        <w:rPr>
          <w:sz w:val="24"/>
        </w:rPr>
        <w:t>The term “Affiliate” shall mean any person or entity controlling, controlled by or under common control with a Party.</w:t>
      </w:r>
    </w:p>
    <w:p>
      <w:pPr>
        <w:pStyle w:val="Normal"/>
        <w:jc w:val="center"/>
        <w:rPr>
          <w:sz w:val="24"/>
        </w:rPr>
      </w:pPr>
      <w:r>
        <w:rPr>
          <w:sz w:val="24"/>
        </w:rPr>
        <w:t>Exhibit “D”</w:t>
      </w:r>
    </w:p>
    <w:p>
      <w:pPr>
        <w:pStyle w:val="Normal"/>
        <w:jc w:val="both"/>
        <w:rPr>
          <w:sz w:val="24"/>
        </w:rPr>
      </w:pPr>
      <w:r>
        <w:rPr>
          <w:sz w:val="24"/>
        </w:rPr>
      </w:r>
    </w:p>
    <w:p>
      <w:pPr>
        <w:pStyle w:val="Heading2"/>
        <w:ind w:hanging="0" w:start="0"/>
        <w:jc w:val="both"/>
        <w:rPr>
          <w:rFonts w:ascii="Times New Roman" w:hAnsi="Times New Roman" w:cs="Times New Roman"/>
          <w:sz w:val="24"/>
        </w:rPr>
      </w:pPr>
      <w:r>
        <w:rPr>
          <w:rFonts w:cs="Times New Roman" w:ascii="Times New Roman" w:hAnsi="Times New Roman"/>
          <w:sz w:val="24"/>
        </w:rPr>
        <w:t>MINIMUM INSURANCE REQUIREMENTS</w:t>
      </w:r>
    </w:p>
    <w:p>
      <w:pPr>
        <w:pStyle w:val="Normal"/>
        <w:jc w:val="both"/>
        <w:rPr>
          <w:rFonts w:ascii="Times New Roman" w:hAnsi="Times New Roman" w:cs="Times New Roman"/>
          <w:sz w:val="24"/>
        </w:rPr>
      </w:pPr>
      <w:r>
        <w:rPr>
          <w:rFonts w:cs="Times New Roman"/>
          <w:sz w:val="24"/>
        </w:rPr>
      </w:r>
    </w:p>
    <w:p>
      <w:pPr>
        <w:pStyle w:val="Normal"/>
        <w:jc w:val="both"/>
        <w:rPr>
          <w:sz w:val="24"/>
        </w:rPr>
      </w:pPr>
      <w:r>
        <w:rPr>
          <w:sz w:val="24"/>
        </w:rPr>
      </w:r>
    </w:p>
    <w:p>
      <w:pPr>
        <w:pStyle w:val="Heading3"/>
        <w:ind w:hanging="0" w:start="0"/>
        <w:jc w:val="both"/>
        <w:rPr>
          <w:rFonts w:ascii="Times New Roman" w:hAnsi="Times New Roman" w:cs="Times New Roman"/>
          <w:sz w:val="24"/>
        </w:rPr>
      </w:pPr>
      <w:r>
        <w:rPr>
          <w:rFonts w:cs="Times New Roman" w:ascii="Times New Roman" w:hAnsi="Times New Roman"/>
          <w:sz w:val="24"/>
        </w:rPr>
        <w:t>Worker Compensation and Employers Liability Insurance</w:t>
      </w:r>
    </w:p>
    <w:p>
      <w:pPr>
        <w:pStyle w:val="Normal"/>
        <w:jc w:val="both"/>
        <w:rPr>
          <w:rFonts w:ascii="Times New Roman" w:hAnsi="Times New Roman" w:cs="Times New Roman"/>
          <w:sz w:val="24"/>
        </w:rPr>
      </w:pPr>
      <w:r>
        <w:rPr>
          <w:rFonts w:cs="Times New Roman"/>
          <w:sz w:val="24"/>
        </w:rPr>
      </w:r>
    </w:p>
    <w:p>
      <w:pPr>
        <w:pStyle w:val="Normal"/>
        <w:jc w:val="both"/>
        <w:rPr>
          <w:sz w:val="24"/>
        </w:rPr>
      </w:pPr>
      <w:r>
        <w:rPr>
          <w:sz w:val="24"/>
        </w:rPr>
        <w:t>Consultant agrees to comply with Workers Compensation laws of the state where the Work is performed, and to maintain a Workers Compensation and Employers Liability policy.  This policy shall be endorsed to provide:  all states coverage, voluntary compensation coverages and occupational disease.  If the Work is to be performed on or near navigable waters, the policy shall include coverage for United States Longshoremen’s and Harbor Worker’s, Death on the High Seas, Jones Act, and all shall contain endorsement for Borrowed Servants.</w:t>
      </w:r>
    </w:p>
    <w:p>
      <w:pPr>
        <w:pStyle w:val="Normal"/>
        <w:jc w:val="both"/>
        <w:rPr>
          <w:sz w:val="24"/>
        </w:rPr>
      </w:pPr>
      <w:r>
        <w:rPr>
          <w:sz w:val="24"/>
        </w:rPr>
      </w:r>
    </w:p>
    <w:p>
      <w:pPr>
        <w:pStyle w:val="Normal"/>
        <w:jc w:val="both"/>
        <w:rPr>
          <w:sz w:val="24"/>
        </w:rPr>
      </w:pPr>
      <w:r>
        <w:rPr>
          <w:sz w:val="24"/>
        </w:rPr>
        <w:t>Workers Compensation</w:t>
        <w:tab/>
        <w:t>Statutory</w:t>
      </w:r>
    </w:p>
    <w:p>
      <w:pPr>
        <w:pStyle w:val="Normal"/>
        <w:jc w:val="both"/>
        <w:rPr>
          <w:sz w:val="24"/>
        </w:rPr>
      </w:pPr>
      <w:r>
        <w:rPr>
          <w:sz w:val="24"/>
        </w:rPr>
      </w:r>
    </w:p>
    <w:p>
      <w:pPr>
        <w:pStyle w:val="Normal"/>
        <w:jc w:val="both"/>
        <w:rPr>
          <w:sz w:val="24"/>
        </w:rPr>
      </w:pPr>
      <w:r>
        <w:rPr>
          <w:sz w:val="24"/>
        </w:rPr>
        <w:t>Employer’s Liability</w:t>
        <w:tab/>
        <w:tab/>
        <w:t>$500,000 Each Accident (Minimum)</w:t>
      </w:r>
    </w:p>
    <w:p>
      <w:pPr>
        <w:pStyle w:val="Normal"/>
        <w:jc w:val="both"/>
        <w:rPr>
          <w:sz w:val="24"/>
        </w:rPr>
      </w:pPr>
      <w:r>
        <w:rPr>
          <w:sz w:val="24"/>
        </w:rPr>
        <w:t>$500, 000 Disease Each Employee</w:t>
      </w:r>
    </w:p>
    <w:p>
      <w:pPr>
        <w:pStyle w:val="Normal"/>
        <w:jc w:val="both"/>
        <w:rPr>
          <w:sz w:val="24"/>
        </w:rPr>
      </w:pPr>
      <w:r>
        <w:rPr>
          <w:sz w:val="24"/>
        </w:rPr>
      </w:r>
    </w:p>
    <w:p>
      <w:pPr>
        <w:pStyle w:val="Heading3"/>
        <w:ind w:hanging="0" w:start="0"/>
        <w:jc w:val="both"/>
        <w:rPr>
          <w:rFonts w:ascii="Times New Roman" w:hAnsi="Times New Roman" w:cs="Times New Roman"/>
          <w:sz w:val="24"/>
        </w:rPr>
      </w:pPr>
      <w:r>
        <w:rPr>
          <w:rFonts w:cs="Times New Roman" w:ascii="Times New Roman" w:hAnsi="Times New Roman"/>
          <w:sz w:val="24"/>
        </w:rPr>
        <w:t>General Liability Insurance</w:t>
      </w:r>
    </w:p>
    <w:p>
      <w:pPr>
        <w:pStyle w:val="Normal"/>
        <w:jc w:val="both"/>
        <w:rPr>
          <w:rFonts w:ascii="Times New Roman" w:hAnsi="Times New Roman" w:cs="Times New Roman"/>
          <w:sz w:val="24"/>
        </w:rPr>
      </w:pPr>
      <w:r>
        <w:rPr>
          <w:rFonts w:cs="Times New Roman"/>
          <w:sz w:val="24"/>
        </w:rPr>
      </w:r>
    </w:p>
    <w:p>
      <w:pPr>
        <w:pStyle w:val="Normal"/>
        <w:jc w:val="both"/>
        <w:rPr>
          <w:sz w:val="24"/>
        </w:rPr>
      </w:pPr>
      <w:r>
        <w:rPr>
          <w:sz w:val="24"/>
        </w:rPr>
        <w:t>General Liability Insurance, endorsed to provide coverage for explosion, collapse and underground damage hazards to property of other; Contractual Liability (particularly the applicable provisions of the “General Indemnity” section of this Agreement); Consultants Protective Liability (if subcontracting is authorized) and Products and Completed Operations (for a minimum of two year after acceptance of the Work).  Watercraft exclusions deleted (if Work necessitates the use of watercraft of any kind).</w:t>
      </w:r>
    </w:p>
    <w:p>
      <w:pPr>
        <w:pStyle w:val="Normal"/>
        <w:jc w:val="both"/>
        <w:rPr>
          <w:sz w:val="24"/>
        </w:rPr>
      </w:pPr>
      <w:r>
        <w:rPr>
          <w:sz w:val="24"/>
        </w:rPr>
      </w:r>
    </w:p>
    <w:p>
      <w:pPr>
        <w:pStyle w:val="Normal"/>
        <w:jc w:val="both"/>
        <w:rPr>
          <w:sz w:val="24"/>
        </w:rPr>
      </w:pPr>
      <w:r>
        <w:rPr>
          <w:sz w:val="24"/>
        </w:rPr>
        <w:t>Bodily Injury</w:t>
        <w:tab/>
        <w:tab/>
        <w:tab/>
        <w:t>$500,000 Each Person (Minimum)</w:t>
      </w:r>
    </w:p>
    <w:p>
      <w:pPr>
        <w:pStyle w:val="Normal"/>
        <w:jc w:val="both"/>
        <w:rPr>
          <w:sz w:val="24"/>
        </w:rPr>
      </w:pPr>
      <w:r>
        <w:rPr>
          <w:sz w:val="24"/>
        </w:rPr>
        <w:t>$500,000 Each Occurrence (Minimum)</w:t>
      </w:r>
    </w:p>
    <w:p>
      <w:pPr>
        <w:pStyle w:val="Normal"/>
        <w:jc w:val="both"/>
        <w:rPr>
          <w:sz w:val="24"/>
        </w:rPr>
      </w:pPr>
      <w:r>
        <w:rPr>
          <w:sz w:val="24"/>
        </w:rPr>
        <w:t>Property Damage</w:t>
        <w:tab/>
        <w:tab/>
        <w:t>$500,000 Each Occurrence (Minimum)</w:t>
      </w:r>
    </w:p>
    <w:p>
      <w:pPr>
        <w:pStyle w:val="Normal"/>
        <w:jc w:val="both"/>
        <w:rPr>
          <w:sz w:val="24"/>
        </w:rPr>
      </w:pPr>
      <w:r>
        <w:rPr>
          <w:sz w:val="24"/>
        </w:rPr>
      </w:r>
    </w:p>
    <w:p>
      <w:pPr>
        <w:pStyle w:val="Normal"/>
        <w:jc w:val="both"/>
        <w:rPr>
          <w:sz w:val="24"/>
        </w:rPr>
      </w:pPr>
      <w:r>
        <w:rPr>
          <w:sz w:val="24"/>
        </w:rPr>
        <w:t>or</w:t>
      </w:r>
    </w:p>
    <w:p>
      <w:pPr>
        <w:pStyle w:val="Normal"/>
        <w:jc w:val="both"/>
        <w:rPr>
          <w:sz w:val="24"/>
        </w:rPr>
      </w:pPr>
      <w:r>
        <w:rPr>
          <w:sz w:val="24"/>
        </w:rPr>
      </w:r>
    </w:p>
    <w:p>
      <w:pPr>
        <w:pStyle w:val="Normal"/>
        <w:jc w:val="both"/>
        <w:rPr>
          <w:sz w:val="24"/>
        </w:rPr>
      </w:pPr>
      <w:r>
        <w:rPr>
          <w:sz w:val="24"/>
        </w:rPr>
        <w:t>Bodily Injury and</w:t>
      </w:r>
    </w:p>
    <w:p>
      <w:pPr>
        <w:pStyle w:val="Normal"/>
        <w:jc w:val="both"/>
        <w:rPr>
          <w:sz w:val="24"/>
        </w:rPr>
      </w:pPr>
      <w:r>
        <w:rPr>
          <w:sz w:val="24"/>
        </w:rPr>
        <w:t>Property Damage</w:t>
        <w:tab/>
        <w:tab/>
        <w:t>$500,000 Combined Single Limit Each Occurrence (Minimum)</w:t>
      </w:r>
    </w:p>
    <w:p>
      <w:pPr>
        <w:pStyle w:val="Normal"/>
        <w:jc w:val="both"/>
        <w:rPr>
          <w:sz w:val="24"/>
        </w:rPr>
      </w:pPr>
      <w:r>
        <w:rPr>
          <w:sz w:val="24"/>
        </w:rPr>
      </w:r>
    </w:p>
    <w:p>
      <w:pPr>
        <w:pStyle w:val="Heading3"/>
        <w:ind w:hanging="0" w:start="0"/>
        <w:jc w:val="both"/>
        <w:rPr>
          <w:rFonts w:ascii="Times New Roman" w:hAnsi="Times New Roman" w:cs="Times New Roman"/>
          <w:sz w:val="24"/>
        </w:rPr>
      </w:pPr>
      <w:r>
        <w:rPr>
          <w:rFonts w:cs="Times New Roman" w:ascii="Times New Roman" w:hAnsi="Times New Roman"/>
          <w:sz w:val="24"/>
        </w:rPr>
        <w:t>Excess Umbrella Liability Coverage</w:t>
      </w:r>
    </w:p>
    <w:p>
      <w:pPr>
        <w:pStyle w:val="Normal"/>
        <w:jc w:val="both"/>
        <w:rPr>
          <w:rFonts w:ascii="Times New Roman" w:hAnsi="Times New Roman" w:cs="Times New Roman"/>
          <w:sz w:val="24"/>
          <w:u w:val="single"/>
        </w:rPr>
      </w:pPr>
      <w:r>
        <w:rPr>
          <w:rFonts w:cs="Times New Roman"/>
          <w:sz w:val="24"/>
          <w:u w:val="single"/>
        </w:rPr>
      </w:r>
    </w:p>
    <w:p>
      <w:pPr>
        <w:pStyle w:val="Normal"/>
        <w:jc w:val="both"/>
        <w:rPr>
          <w:sz w:val="24"/>
        </w:rPr>
      </w:pPr>
      <w:r>
        <w:rPr>
          <w:sz w:val="24"/>
        </w:rPr>
        <w:t>Bodily Injury and</w:t>
      </w:r>
    </w:p>
    <w:p>
      <w:pPr>
        <w:pStyle w:val="Normal"/>
        <w:jc w:val="both"/>
        <w:rPr>
          <w:sz w:val="24"/>
        </w:rPr>
      </w:pPr>
      <w:r>
        <w:rPr>
          <w:sz w:val="24"/>
        </w:rPr>
        <w:t>Property Damage</w:t>
        <w:tab/>
        <w:tab/>
        <w:t>$1,000,000 Combined Single Limit Each Occurrence (Minimum)</w:t>
      </w:r>
    </w:p>
    <w:p>
      <w:pPr>
        <w:pStyle w:val="Normal"/>
        <w:jc w:val="both"/>
        <w:rPr>
          <w:sz w:val="24"/>
        </w:rPr>
      </w:pPr>
      <w:r>
        <w:rPr>
          <w:sz w:val="24"/>
        </w:rPr>
      </w:r>
    </w:p>
    <w:p>
      <w:pPr>
        <w:pStyle w:val="Heading3"/>
        <w:ind w:hanging="0" w:start="0"/>
        <w:jc w:val="both"/>
        <w:rPr>
          <w:rFonts w:ascii="Times New Roman" w:hAnsi="Times New Roman" w:cs="Times New Roman"/>
          <w:sz w:val="24"/>
        </w:rPr>
      </w:pPr>
      <w:r>
        <w:rPr>
          <w:rFonts w:cs="Times New Roman" w:ascii="Times New Roman" w:hAnsi="Times New Roman"/>
          <w:sz w:val="24"/>
        </w:rPr>
        <w:t>Hull and Protection and Indemnity Insurance</w:t>
      </w:r>
    </w:p>
    <w:p>
      <w:pPr>
        <w:pStyle w:val="Normal"/>
        <w:jc w:val="both"/>
        <w:rPr>
          <w:rFonts w:ascii="Times New Roman" w:hAnsi="Times New Roman" w:cs="Times New Roman"/>
          <w:sz w:val="24"/>
        </w:rPr>
      </w:pPr>
      <w:r>
        <w:rPr>
          <w:rFonts w:cs="Times New Roman"/>
          <w:sz w:val="24"/>
        </w:rPr>
      </w:r>
    </w:p>
    <w:p>
      <w:pPr>
        <w:pStyle w:val="Normal"/>
        <w:jc w:val="both"/>
        <w:rPr/>
      </w:pPr>
      <w:r>
        <w:rPr>
          <w:sz w:val="24"/>
        </w:rPr>
        <w:t xml:space="preserve">Hull and Protection and Indemnity insurance </w:t>
      </w:r>
      <w:r>
        <w:rPr>
          <w:sz w:val="24"/>
          <w:u w:val="single"/>
        </w:rPr>
        <w:t>if the Work necessitates the use of watercraft of any kind</w:t>
      </w:r>
      <w:r>
        <w:rPr>
          <w:sz w:val="24"/>
        </w:rPr>
        <w:t>.</w:t>
      </w:r>
    </w:p>
    <w:p>
      <w:pPr>
        <w:pStyle w:val="Normal"/>
        <w:jc w:val="both"/>
        <w:rPr>
          <w:sz w:val="24"/>
        </w:rPr>
      </w:pPr>
      <w:r>
        <w:rPr>
          <w:sz w:val="24"/>
        </w:rPr>
      </w:r>
    </w:p>
    <w:p>
      <w:pPr>
        <w:pStyle w:val="Normal"/>
        <w:jc w:val="both"/>
        <w:rPr>
          <w:sz w:val="24"/>
        </w:rPr>
      </w:pPr>
      <w:r>
        <w:rPr>
          <w:sz w:val="24"/>
        </w:rPr>
        <w:t>Hull</w:t>
        <w:tab/>
        <w:tab/>
        <w:tab/>
        <w:tab/>
        <w:t>Full replacement of the watercraft (Minimum)</w:t>
      </w:r>
    </w:p>
    <w:p>
      <w:pPr>
        <w:pStyle w:val="Normal"/>
        <w:jc w:val="both"/>
        <w:rPr>
          <w:sz w:val="24"/>
        </w:rPr>
      </w:pPr>
      <w:r>
        <w:rPr>
          <w:sz w:val="24"/>
        </w:rPr>
        <w:t>P &amp; I</w:t>
        <w:tab/>
        <w:tab/>
        <w:tab/>
        <w:tab/>
        <w:t xml:space="preserve">$1,000,000 Each Occurrence  or the full value of the vessel, </w:t>
      </w:r>
    </w:p>
    <w:p>
      <w:pPr>
        <w:pStyle w:val="Normal"/>
        <w:jc w:val="both"/>
        <w:rPr>
          <w:sz w:val="24"/>
        </w:rPr>
      </w:pPr>
      <w:r>
        <w:rPr>
          <w:sz w:val="24"/>
        </w:rPr>
        <w:t>whichever is greater (Minimum)</w:t>
      </w:r>
    </w:p>
    <w:p>
      <w:pPr>
        <w:pStyle w:val="Normal"/>
        <w:jc w:val="both"/>
        <w:rPr>
          <w:sz w:val="24"/>
        </w:rPr>
      </w:pPr>
      <w:r>
        <w:rPr>
          <w:sz w:val="24"/>
        </w:rPr>
      </w:r>
      <w:r>
        <w:br w:type="page"/>
      </w:r>
    </w:p>
    <w:p>
      <w:pPr>
        <w:pStyle w:val="Normal"/>
        <w:jc w:val="both"/>
        <w:rPr>
          <w:sz w:val="24"/>
        </w:rPr>
      </w:pPr>
      <w:r>
        <w:rPr>
          <w:sz w:val="24"/>
        </w:rPr>
      </w:r>
    </w:p>
    <w:p>
      <w:pPr>
        <w:pStyle w:val="Heading3"/>
        <w:ind w:hanging="0" w:start="0"/>
        <w:jc w:val="both"/>
        <w:rPr>
          <w:rFonts w:ascii="Times New Roman" w:hAnsi="Times New Roman" w:cs="Times New Roman"/>
          <w:sz w:val="24"/>
        </w:rPr>
      </w:pPr>
      <w:r>
        <w:rPr>
          <w:rFonts w:cs="Times New Roman" w:ascii="Times New Roman" w:hAnsi="Times New Roman"/>
          <w:sz w:val="24"/>
        </w:rPr>
        <w:t>Additional Requirements</w:t>
      </w:r>
    </w:p>
    <w:p>
      <w:pPr>
        <w:pStyle w:val="Normal"/>
        <w:jc w:val="both"/>
        <w:rPr>
          <w:rFonts w:ascii="Times New Roman" w:hAnsi="Times New Roman" w:cs="Times New Roman"/>
          <w:sz w:val="24"/>
        </w:rPr>
      </w:pPr>
      <w:r>
        <w:rPr>
          <w:rFonts w:cs="Times New Roman"/>
          <w:sz w:val="24"/>
        </w:rPr>
      </w:r>
    </w:p>
    <w:p>
      <w:pPr>
        <w:pStyle w:val="BodyText"/>
        <w:jc w:val="both"/>
        <w:rPr>
          <w:rFonts w:ascii="Times New Roman" w:hAnsi="Times New Roman" w:cs="Times New Roman"/>
          <w:sz w:val="24"/>
        </w:rPr>
      </w:pPr>
      <w:r>
        <w:rPr>
          <w:rFonts w:cs="Times New Roman" w:ascii="Times New Roman" w:hAnsi="Times New Roman"/>
          <w:sz w:val="24"/>
        </w:rPr>
        <w:t>Consultant shall require any agent at any tier, vendor, supplier, material dealer and others connected with the Work to provide and maintain insurance at all times during the period that their agreement related to Work under this Agreement is in force and effect at the agent’s, vendor’s supplier’s, material dealer’s, or other’s own cost, with insurance limits and in form and issuing companies acceptable to Company.</w:t>
      </w:r>
    </w:p>
    <w:p>
      <w:pPr>
        <w:pStyle w:val="Normal"/>
        <w:jc w:val="both"/>
        <w:rPr>
          <w:rFonts w:ascii="Times New Roman" w:hAnsi="Times New Roman" w:cs="Times New Roman"/>
          <w:sz w:val="24"/>
        </w:rPr>
      </w:pPr>
      <w:r>
        <w:rPr>
          <w:rFonts w:cs="Times New Roman"/>
          <w:sz w:val="24"/>
        </w:rPr>
      </w:r>
    </w:p>
    <w:p>
      <w:pPr>
        <w:pStyle w:val="Normal"/>
        <w:jc w:val="both"/>
        <w:rPr>
          <w:sz w:val="24"/>
        </w:rPr>
      </w:pPr>
      <w:r>
        <w:rPr>
          <w:sz w:val="24"/>
        </w:rPr>
        <w:t>Consultant shall submit to Company at the time the Consultant executes this Agreement, a Certificate of Insurance, in form satisfactory to Company, evidencing that satisfactory coverages of the type and limits set forth hereinabove are in effect.  Policies providing such coverages shall contain provisions that no cancellation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Consultant, the failure of any insurance company to pay claims accruing, or the inadequacy of the limits of the insurance, shall not affect negate or waive any to the provisions of this Agreement including, without exception, the indemnity obligations of Consultant.</w:t>
      </w:r>
    </w:p>
    <w:p>
      <w:pPr>
        <w:pStyle w:val="Normal"/>
        <w:jc w:val="both"/>
        <w:rPr>
          <w:sz w:val="24"/>
        </w:rPr>
      </w:pPr>
      <w:r>
        <w:rPr>
          <w:sz w:val="24"/>
        </w:rPr>
      </w:r>
    </w:p>
    <w:p>
      <w:pPr>
        <w:pStyle w:val="Normal"/>
        <w:jc w:val="both"/>
        <w:rPr>
          <w:sz w:val="24"/>
        </w:rPr>
      </w:pPr>
      <w:r>
        <w:rPr>
          <w:sz w:val="24"/>
        </w:rPr>
        <w:t>Consultant agrees to require any policies of insurance, except Workers Compensation coverages, which are in any way related to the Work and that are secured and maintained by Consultant or its agents, to include Company, its parent and affiliated companies, and their directors, officers, employees and agents, as Additional Insured.  Furthermore, Underwriters shall waive all rights of recovery against Company, its parent and affiliated companies which Consultant may have or acquire because of deductible clauses in oar inadequacy of limits of, any policies of insurance maintained by Consultant.</w:t>
      </w:r>
    </w:p>
    <w:p>
      <w:pPr>
        <w:pStyle w:val="Normal"/>
        <w:jc w:val="both"/>
        <w:rPr>
          <w:sz w:val="24"/>
        </w:rPr>
      </w:pPr>
      <w:r>
        <w:rPr>
          <w:sz w:val="24"/>
        </w:rPr>
      </w:r>
    </w:p>
    <w:p>
      <w:pPr>
        <w:pStyle w:val="Normal"/>
        <w:jc w:val="both"/>
        <w:rPr>
          <w:sz w:val="24"/>
        </w:rPr>
      </w:pPr>
      <w:r>
        <w:rPr>
          <w:sz w:val="24"/>
        </w:rPr>
        <w:t>Consultant agrees to require all such policies of insurance which are in any way related to the Work and that are secured and maintained by Consultant or its agents, to include clauses providing that each underwriter shall waive its rights of recovery, under subrogation or otherwise, against Company, its parent and affiliated companies and their directors, officers, employees and agents.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sectPr>
      <w:footerReference w:type="default" r:id="rId10"/>
      <w:footerReference w:type="first" r:id="rId11"/>
      <w:type w:val="nextPage"/>
      <w:pgSz w:w="12240" w:h="15840"/>
      <w:pgMar w:left="1008" w:right="1008" w:gutter="0" w:header="0" w:top="1008" w:footer="72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tab/>
    </w:r>
    <w:r>
      <w:rPr>
        <w:sz w:val="22"/>
      </w:rPr>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r>
      <w:rPr>
        <w:rStyle w:val="PageNumber"/>
        <w:sz w:val="22"/>
      </w:rPr>
      <w:t xml:space="preserve"> –</w:t>
    </w:r>
  </w:p>
  <w:p>
    <w:pPr>
      <w:pStyle w:val="Footer"/>
      <w:tabs>
        <w:tab w:val="clear" w:pos="4320"/>
        <w:tab w:val="center" w:pos="5040" w:leader="none"/>
        <w:tab w:val="right" w:pos="8640" w:leader="none"/>
      </w:tabs>
      <w:rPr>
        <w:rStyle w:val="PageNumber"/>
        <w:rFonts w:ascii="Arial" w:hAnsi="Arial" w:cs="Arial"/>
        <w:sz w:val="22"/>
      </w:rPr>
    </w:pPr>
    <w:r>
      <w:rPr/>
    </w:r>
  </w:p>
  <w:p>
    <w:pPr>
      <w:pStyle w:val="Footer"/>
      <w:tabs>
        <w:tab w:val="clear" w:pos="4320"/>
        <w:tab w:val="center" w:pos="5040" w:leader="none"/>
        <w:tab w:val="right" w:pos="8640" w:leader="none"/>
      </w:tabs>
      <w:rPr/>
    </w:pPr>
    <w:r>
      <w:rPr>
        <w:rStyle w:val="PageNumber"/>
        <w:sz w:val="14"/>
      </w:rPr>
      <w:fldChar w:fldCharType="begin"/>
    </w:r>
    <w:r>
      <w:rPr>
        <w:rStyle w:val="PageNumber"/>
        <w:sz w:val="14"/>
      </w:rPr>
      <w:instrText xml:space="preserve"> FILENAME \p </w:instrText>
    </w:r>
    <w:r>
      <w:rPr>
        <w:rStyle w:val="PageNumber"/>
        <w:sz w:val="14"/>
      </w:rPr>
      <w:fldChar w:fldCharType="separate"/>
    </w:r>
    <w:r>
      <w:rPr>
        <w:rStyle w:val="PageNumber"/>
        <w:sz w:val="14"/>
      </w:rPr>
      <w:t>/mnt/main-storage/datasets/enron-docs/doc/PCS_Service_Agreement_11_02_00_.doc</w:t>
    </w:r>
    <w:r>
      <w:rPr>
        <w:rStyle w:val="PageNumber"/>
        <w:sz w:val="14"/>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tab/>
    </w:r>
    <w:r>
      <w:rPr>
        <w:rFonts w:cs="Arial" w:ascii="Arial" w:hAnsi="Arial"/>
        <w:sz w:val="22"/>
      </w:rPr>
      <w:t xml:space="preserv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2</w:t>
    </w:r>
    <w:r>
      <w:rPr>
        <w:rStyle w:val="PageNumber"/>
        <w:sz w:val="22"/>
        <w:rFonts w:cs="Arial" w:ascii="Arial" w:hAnsi="Arial"/>
      </w:rPr>
      <w:fldChar w:fldCharType="end"/>
    </w:r>
    <w:r>
      <w:rPr>
        <w:rStyle w:val="PageNumber"/>
        <w:rFonts w:cs="Arial" w:ascii="Arial" w:hAnsi="Arial"/>
        <w:sz w:val="22"/>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tab/>
    </w:r>
    <w:r>
      <w:rPr>
        <w:rFonts w:cs="Arial" w:ascii="Arial" w:hAnsi="Arial"/>
        <w:sz w:val="22"/>
      </w:rPr>
      <w:t xml:space="preserv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1</w:t>
    </w:r>
    <w:r>
      <w:rPr>
        <w:rStyle w:val="PageNumber"/>
        <w:sz w:val="22"/>
        <w:rFonts w:cs="Arial" w:ascii="Arial" w:hAnsi="Arial"/>
      </w:rPr>
      <w:fldChar w:fldCharType="end"/>
    </w:r>
    <w:r>
      <w:rPr>
        <w:rStyle w:val="PageNumber"/>
        <w:rFonts w:cs="Arial" w:ascii="Arial" w:hAnsi="Arial"/>
        <w:sz w:val="22"/>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tab/>
    </w:r>
    <w:r>
      <w:rPr>
        <w:rFonts w:cs="Arial" w:ascii="Arial" w:hAnsi="Arial"/>
        <w:sz w:val="22"/>
      </w:rPr>
      <w:t xml:space="preserv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1</w:t>
    </w:r>
    <w:r>
      <w:rPr>
        <w:rStyle w:val="PageNumber"/>
        <w:sz w:val="22"/>
        <w:rFonts w:cs="Arial" w:ascii="Arial" w:hAnsi="Arial"/>
      </w:rPr>
      <w:fldChar w:fldCharType="end"/>
    </w:r>
    <w:r>
      <w:rPr>
        <w:rStyle w:val="PageNumber"/>
        <w:rFonts w:cs="Arial" w:ascii="Arial" w:hAnsi="Arial"/>
        <w:sz w:val="22"/>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rPr/>
    </w:pPr>
    <w:r>
      <w:rPr/>
      <w:tab/>
    </w:r>
    <w:r>
      <w:rPr>
        <w:rFonts w:cs="Arial" w:ascii="Arial" w:hAnsi="Arial"/>
        <w:sz w:val="22"/>
      </w:rPr>
      <w:t xml:space="preserv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2</w:t>
    </w:r>
    <w:r>
      <w:rPr>
        <w:rStyle w:val="PageNumber"/>
        <w:sz w:val="22"/>
        <w:rFonts w:cs="Arial" w:ascii="Arial" w:hAnsi="Arial"/>
      </w:rPr>
      <w:fldChar w:fldCharType="end"/>
    </w:r>
    <w:r>
      <w:rPr>
        <w:rStyle w:val="PageNumber"/>
        <w:rFonts w:cs="Arial" w:ascii="Arial" w:hAnsi="Arial"/>
        <w:sz w:val="22"/>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720" w:end="0"/>
      <w:jc w:val="center"/>
      <w:outlineLvl w:val="0"/>
    </w:pPr>
    <w:rPr>
      <w:rFonts w:ascii="Arial" w:hAnsi="Arial" w:cs="Arial"/>
      <w:sz w:val="22"/>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sz w:val="22"/>
      <w:u w:val="single"/>
    </w:rPr>
  </w:style>
  <w:style w:type="paragraph" w:styleId="Heading3">
    <w:name w:val="heading 3"/>
    <w:basedOn w:val="Normal"/>
    <w:next w:val="Normal"/>
    <w:qFormat/>
    <w:pPr>
      <w:keepNext w:val="true"/>
      <w:numPr>
        <w:ilvl w:val="2"/>
        <w:numId w:val="1"/>
      </w:numPr>
      <w:outlineLvl w:val="2"/>
    </w:pPr>
    <w:rPr>
      <w:rFonts w:ascii="Arial" w:hAnsi="Arial" w:cs="Arial"/>
      <w:sz w:val="22"/>
      <w:u w:val="single"/>
    </w:rPr>
  </w:style>
  <w:style w:type="paragraph" w:styleId="Heading4">
    <w:name w:val="heading 4"/>
    <w:basedOn w:val="Normal"/>
    <w:next w:val="Normal"/>
    <w:qFormat/>
    <w:pPr>
      <w:keepNext w:val="true"/>
      <w:numPr>
        <w:ilvl w:val="3"/>
        <w:numId w:val="1"/>
      </w:numPr>
      <w:outlineLvl w:val="3"/>
    </w:pPr>
    <w:rPr>
      <w:b/>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8z0">
    <w:name w:val="WW8Num8z0"/>
    <w:qFormat/>
    <w:rPr>
      <w:b w:val="false"/>
      <w:i w:val="false"/>
      <w:u w:val="none"/>
    </w:rPr>
  </w:style>
  <w:style w:type="character" w:styleId="WW8Num9z0">
    <w:name w:val="WW8Num9z0"/>
    <w:qFormat/>
    <w:rPr/>
  </w:style>
  <w:style w:type="character" w:styleId="WW8Num10z0">
    <w:name w:val="WW8Num10z0"/>
    <w:qFormat/>
    <w:rPr/>
  </w:style>
  <w:style w:type="character" w:styleId="WW8Num13z0">
    <w:name w:val="WW8Num13z0"/>
    <w:qFormat/>
    <w:rPr>
      <w:b w:val="false"/>
      <w:i w:val="false"/>
      <w:u w:val="none"/>
    </w:rPr>
  </w:style>
  <w:style w:type="character" w:styleId="WW8Num21z0">
    <w:name w:val="WW8Num21z0"/>
    <w:qFormat/>
    <w:rPr/>
  </w:style>
  <w:style w:type="character" w:styleId="WW8Num22z0">
    <w:name w:val="WW8Num22z0"/>
    <w:qFormat/>
    <w:rPr>
      <w:b w:val="false"/>
      <w:i w:val="false"/>
      <w:u w:val="none"/>
    </w:rPr>
  </w:style>
  <w:style w:type="character" w:styleId="WW8Num23z0">
    <w:name w:val="WW8Num2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16"/>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rFonts w:ascii="Arial" w:hAnsi="Arial" w:cs="Arial"/>
      <w:sz w:val="22"/>
      <w:u w:val="single"/>
    </w:rPr>
  </w:style>
  <w:style w:type="paragraph" w:styleId="BodyTextIndent2">
    <w:name w:val="Body Text Indent 2"/>
    <w:basedOn w:val="Normal"/>
    <w:qFormat/>
    <w:pPr>
      <w:ind w:hanging="0" w:start="360" w:end="0"/>
    </w:pPr>
    <w:rPr>
      <w:rFonts w:ascii="Arial" w:hAnsi="Arial" w:cs="Arial"/>
      <w:sz w:val="22"/>
    </w:rPr>
  </w:style>
  <w:style w:type="paragraph" w:styleId="BodyText2">
    <w:name w:val="Body Text 2"/>
    <w:basedOn w:val="Normal"/>
    <w:qFormat/>
    <w:pPr>
      <w:jc w:val="both"/>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2000-11-02T18:21:00Z</dcterms:created>
  <dc:creator>Beth A. Ryan</dc:creator>
  <dc:description/>
  <dc:language>en-CA</dc:language>
  <cp:lastModifiedBy>mogden</cp:lastModifiedBy>
  <cp:lastPrinted>2000-11-02T14:57:00Z</cp:lastPrinted>
  <dcterms:modified xsi:type="dcterms:W3CDTF">2000-11-02T18:27:00Z</dcterms:modified>
  <cp:revision>3</cp:revision>
  <dc:subject/>
  <dc:title>AGREEMENT FOR SERVICES</dc:title>
</cp:coreProperties>
</file>